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3092" w14:textId="1FEFFB9B" w:rsidR="00BB5E9F" w:rsidRPr="00E056EB" w:rsidRDefault="00F9521C" w:rsidP="00BB5E9F">
      <w:pPr>
        <w:ind w:left="-540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FMOLHS System P&amp;T Committee</w:t>
      </w:r>
    </w:p>
    <w:p w14:paraId="0C73B700" w14:textId="37CFEA68" w:rsidR="00194A09" w:rsidRPr="00502778" w:rsidRDefault="00BB5E9F" w:rsidP="00502778">
      <w:pPr>
        <w:ind w:left="-540"/>
        <w:rPr>
          <w:rFonts w:ascii="Arial" w:hAnsi="Arial"/>
          <w:b/>
          <w:sz w:val="30"/>
          <w:szCs w:val="30"/>
        </w:rPr>
      </w:pPr>
      <w:r w:rsidRPr="0086226B"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CEAAE" wp14:editId="537E8BFB">
                <wp:simplePos x="0" y="0"/>
                <wp:positionH relativeFrom="column">
                  <wp:posOffset>-358815</wp:posOffset>
                </wp:positionH>
                <wp:positionV relativeFrom="paragraph">
                  <wp:posOffset>371162</wp:posOffset>
                </wp:positionV>
                <wp:extent cx="6858000" cy="0"/>
                <wp:effectExtent l="0" t="25400" r="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65A12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5pt,29.25pt" to="51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 w:rsidR="008900ED">
        <w:rPr>
          <w:rFonts w:ascii="Arial" w:hAnsi="Arial"/>
          <w:b/>
          <w:sz w:val="30"/>
          <w:szCs w:val="30"/>
        </w:rPr>
        <w:t xml:space="preserve">Consent Agenda </w:t>
      </w:r>
      <w:r w:rsidR="00F9521C">
        <w:rPr>
          <w:rFonts w:ascii="Arial" w:hAnsi="Arial"/>
          <w:b/>
          <w:sz w:val="30"/>
          <w:szCs w:val="30"/>
        </w:rPr>
        <w:t>Class Review Recommendations</w:t>
      </w:r>
      <w:r w:rsidR="0065790C">
        <w:rPr>
          <w:rFonts w:ascii="Arial" w:hAnsi="Arial"/>
          <w:b/>
          <w:sz w:val="30"/>
          <w:szCs w:val="30"/>
        </w:rPr>
        <w:t xml:space="preserve"> Summary</w:t>
      </w:r>
      <w:r>
        <w:rPr>
          <w:rFonts w:ascii="Arial" w:hAnsi="Arial"/>
          <w:b/>
          <w:sz w:val="30"/>
          <w:szCs w:val="30"/>
        </w:rPr>
        <w:br/>
      </w:r>
    </w:p>
    <w:p w14:paraId="1754D1CB" w14:textId="3332648B" w:rsidR="005B057E" w:rsidRDefault="0063476B" w:rsidP="005B057E">
      <w:pPr>
        <w:pStyle w:val="Heading1"/>
      </w:pPr>
      <w:r w:rsidRPr="0063476B">
        <w:t>Carbapenems (08:12.07.08)</w:t>
      </w:r>
    </w:p>
    <w:p w14:paraId="1822F6F3" w14:textId="77777777" w:rsidR="00C50803" w:rsidRDefault="00C50803" w:rsidP="0063476B">
      <w:pPr>
        <w:pStyle w:val="ListParagraph"/>
        <w:numPr>
          <w:ilvl w:val="0"/>
          <w:numId w:val="17"/>
        </w:numPr>
      </w:pPr>
      <w:r w:rsidRPr="00C50803">
        <w:t xml:space="preserve">Meropenem and ertapenem will be formulary. </w:t>
      </w:r>
    </w:p>
    <w:p w14:paraId="7788DAAE" w14:textId="363B4C52" w:rsidR="0063476B" w:rsidRDefault="00C50803" w:rsidP="0063476B">
      <w:pPr>
        <w:pStyle w:val="ListParagraph"/>
        <w:numPr>
          <w:ilvl w:val="0"/>
          <w:numId w:val="17"/>
        </w:numPr>
      </w:pPr>
      <w:r w:rsidRPr="00C50803">
        <w:t>Imipenem/</w:t>
      </w:r>
      <w:proofErr w:type="spellStart"/>
      <w:r w:rsidRPr="00C50803">
        <w:t>cilastatin</w:t>
      </w:r>
      <w:proofErr w:type="spellEnd"/>
      <w:r>
        <w:t>,</w:t>
      </w:r>
      <w:r w:rsidRPr="00C50803">
        <w:t xml:space="preserve"> imipenem/</w:t>
      </w:r>
      <w:proofErr w:type="spellStart"/>
      <w:r w:rsidRPr="00C50803">
        <w:t>cilastatin</w:t>
      </w:r>
      <w:proofErr w:type="spellEnd"/>
      <w:r w:rsidRPr="00C50803">
        <w:t>/</w:t>
      </w:r>
      <w:proofErr w:type="spellStart"/>
      <w:r w:rsidRPr="00C50803">
        <w:t>relebactam</w:t>
      </w:r>
      <w:proofErr w:type="spellEnd"/>
      <w:r>
        <w:t xml:space="preserve"> and m</w:t>
      </w:r>
      <w:r w:rsidRPr="00C50803">
        <w:t>eropenem/</w:t>
      </w:r>
      <w:proofErr w:type="spellStart"/>
      <w:r w:rsidRPr="00C50803">
        <w:t>vaborbactam</w:t>
      </w:r>
      <w:proofErr w:type="spellEnd"/>
      <w:r w:rsidRPr="00C50803">
        <w:t xml:space="preserve"> will be non-formulary.  </w:t>
      </w:r>
    </w:p>
    <w:p w14:paraId="6F79AB70" w14:textId="1F6ED619" w:rsidR="00D16680" w:rsidRDefault="00D16680" w:rsidP="00D16680">
      <w:pPr>
        <w:pStyle w:val="Heading1"/>
      </w:pPr>
      <w:r w:rsidRPr="00D16680">
        <w:t>Cephalosporins (8:12.06)</w:t>
      </w:r>
    </w:p>
    <w:p w14:paraId="43CA5E44" w14:textId="77777777" w:rsidR="002033DA" w:rsidRPr="00406687" w:rsidRDefault="002033DA" w:rsidP="00D16680">
      <w:pPr>
        <w:pStyle w:val="ListParagraph"/>
        <w:numPr>
          <w:ilvl w:val="0"/>
          <w:numId w:val="18"/>
        </w:numPr>
        <w:rPr>
          <w:color w:val="FF0000"/>
        </w:rPr>
      </w:pPr>
      <w:r w:rsidRPr="00406687">
        <w:rPr>
          <w:color w:val="FF0000"/>
        </w:rPr>
        <w:t xml:space="preserve">Cefazolin, cephalexin, cefuroxime </w:t>
      </w:r>
      <w:proofErr w:type="spellStart"/>
      <w:r w:rsidRPr="00406687">
        <w:rPr>
          <w:color w:val="FF0000"/>
        </w:rPr>
        <w:t>axetil</w:t>
      </w:r>
      <w:proofErr w:type="spellEnd"/>
      <w:r w:rsidRPr="00406687">
        <w:rPr>
          <w:color w:val="FF0000"/>
        </w:rPr>
        <w:t xml:space="preserve">, cefuroxime sodium, ceftazidime, cefoxitin, ceftriaxone, cefpodoxime, and cefepime will be formulary. </w:t>
      </w:r>
    </w:p>
    <w:p w14:paraId="5FD2BE8E" w14:textId="77777777" w:rsidR="002033DA" w:rsidRPr="00406687" w:rsidRDefault="002033DA" w:rsidP="00D16680">
      <w:pPr>
        <w:pStyle w:val="ListParagraph"/>
        <w:numPr>
          <w:ilvl w:val="0"/>
          <w:numId w:val="18"/>
        </w:numPr>
        <w:rPr>
          <w:color w:val="FF0000"/>
        </w:rPr>
      </w:pPr>
      <w:r w:rsidRPr="00406687">
        <w:rPr>
          <w:color w:val="FF0000"/>
        </w:rPr>
        <w:t>Cefdinir will be restricted to patients &lt; 2 months of age.</w:t>
      </w:r>
    </w:p>
    <w:p w14:paraId="1C48D0B8" w14:textId="77777777" w:rsidR="002033DA" w:rsidRDefault="002033DA" w:rsidP="00D16680">
      <w:pPr>
        <w:pStyle w:val="ListParagraph"/>
        <w:numPr>
          <w:ilvl w:val="0"/>
          <w:numId w:val="18"/>
        </w:numPr>
      </w:pPr>
      <w:proofErr w:type="spellStart"/>
      <w:r w:rsidRPr="002033DA">
        <w:t>Ceftaroline</w:t>
      </w:r>
      <w:proofErr w:type="spellEnd"/>
      <w:r w:rsidRPr="002033DA">
        <w:t xml:space="preserve"> will be formulary restricted to the ID &amp; critical care specialties. </w:t>
      </w:r>
    </w:p>
    <w:p w14:paraId="6E23276C" w14:textId="06A8E51F" w:rsidR="002033DA" w:rsidRDefault="002033DA" w:rsidP="00D16680">
      <w:pPr>
        <w:pStyle w:val="ListParagraph"/>
        <w:numPr>
          <w:ilvl w:val="0"/>
          <w:numId w:val="18"/>
        </w:numPr>
      </w:pPr>
      <w:r w:rsidRPr="002033DA">
        <w:t xml:space="preserve">Cefadroxil, cefaclor, cefotaxime, </w:t>
      </w:r>
      <w:r>
        <w:t>and</w:t>
      </w:r>
      <w:r w:rsidRPr="002033DA">
        <w:t xml:space="preserve"> cefixime will be non-formulary. </w:t>
      </w:r>
    </w:p>
    <w:p w14:paraId="100B2D18" w14:textId="2A8306CE" w:rsidR="00D16680" w:rsidRDefault="002033DA" w:rsidP="00D16680">
      <w:pPr>
        <w:pStyle w:val="ListParagraph"/>
        <w:numPr>
          <w:ilvl w:val="0"/>
          <w:numId w:val="18"/>
        </w:numPr>
      </w:pPr>
      <w:proofErr w:type="spellStart"/>
      <w:r w:rsidRPr="002033DA">
        <w:t>Cefiderocol</w:t>
      </w:r>
      <w:proofErr w:type="spellEnd"/>
      <w:r w:rsidRPr="002033DA">
        <w:t xml:space="preserve"> will be formulary restricted to use in multidrug resistant organisms with the restriction to ordering by infectious disease providers and critical care providers (if facility does not have ID providers).  </w:t>
      </w:r>
    </w:p>
    <w:p w14:paraId="70BEF081" w14:textId="3AA9BA48" w:rsidR="00CF4643" w:rsidRDefault="00CF4643" w:rsidP="00CF4643">
      <w:pPr>
        <w:pStyle w:val="Heading1"/>
      </w:pPr>
      <w:r w:rsidRPr="00CF4643">
        <w:t>Complement Inhibitors, Angioedema Treatment (92:32)</w:t>
      </w:r>
    </w:p>
    <w:p w14:paraId="57945C37" w14:textId="77777777" w:rsidR="00074A27" w:rsidRDefault="00074A27" w:rsidP="00CF4643">
      <w:pPr>
        <w:pStyle w:val="ListParagraph"/>
        <w:numPr>
          <w:ilvl w:val="0"/>
          <w:numId w:val="19"/>
        </w:numPr>
      </w:pPr>
      <w:proofErr w:type="spellStart"/>
      <w:r w:rsidRPr="00074A27">
        <w:t>Berinert</w:t>
      </w:r>
      <w:proofErr w:type="spellEnd"/>
      <w:r w:rsidRPr="00074A27">
        <w:t xml:space="preserve"> and </w:t>
      </w:r>
      <w:proofErr w:type="spellStart"/>
      <w:r w:rsidRPr="00074A27">
        <w:t>Firazyr</w:t>
      </w:r>
      <w:proofErr w:type="spellEnd"/>
      <w:r w:rsidRPr="00074A27">
        <w:t xml:space="preserve"> will be formulary. </w:t>
      </w:r>
    </w:p>
    <w:p w14:paraId="02F40D80" w14:textId="77777777" w:rsidR="00074A27" w:rsidRDefault="00074A27" w:rsidP="00CF4643">
      <w:pPr>
        <w:pStyle w:val="ListParagraph"/>
        <w:numPr>
          <w:ilvl w:val="0"/>
          <w:numId w:val="19"/>
        </w:numPr>
      </w:pPr>
      <w:proofErr w:type="spellStart"/>
      <w:r w:rsidRPr="00074A27">
        <w:t>Ruconest</w:t>
      </w:r>
      <w:proofErr w:type="spellEnd"/>
      <w:r w:rsidRPr="00074A27">
        <w:t xml:space="preserve"> and </w:t>
      </w:r>
      <w:proofErr w:type="spellStart"/>
      <w:r w:rsidRPr="00074A27">
        <w:t>Kalbitor</w:t>
      </w:r>
      <w:proofErr w:type="spellEnd"/>
      <w:r w:rsidRPr="00074A27">
        <w:t xml:space="preserve"> will be non-formulary. </w:t>
      </w:r>
    </w:p>
    <w:p w14:paraId="1A6A93F9" w14:textId="71A285CD" w:rsidR="00CF4643" w:rsidRDefault="00074A27" w:rsidP="00CF4643">
      <w:pPr>
        <w:pStyle w:val="ListParagraph"/>
        <w:numPr>
          <w:ilvl w:val="0"/>
          <w:numId w:val="19"/>
        </w:numPr>
      </w:pPr>
      <w:proofErr w:type="spellStart"/>
      <w:r w:rsidRPr="00074A27">
        <w:t>Cinryze</w:t>
      </w:r>
      <w:proofErr w:type="spellEnd"/>
      <w:r w:rsidRPr="00074A27">
        <w:t xml:space="preserve">, </w:t>
      </w:r>
      <w:proofErr w:type="spellStart"/>
      <w:r w:rsidRPr="00074A27">
        <w:t>Haegarda</w:t>
      </w:r>
      <w:proofErr w:type="spellEnd"/>
      <w:r w:rsidRPr="00074A27">
        <w:t xml:space="preserve">, </w:t>
      </w:r>
      <w:proofErr w:type="spellStart"/>
      <w:r w:rsidRPr="00074A27">
        <w:t>Orladeyo</w:t>
      </w:r>
      <w:proofErr w:type="spellEnd"/>
      <w:r w:rsidRPr="00074A27">
        <w:t xml:space="preserve">, and </w:t>
      </w:r>
      <w:proofErr w:type="spellStart"/>
      <w:r w:rsidRPr="00074A27">
        <w:t>Takhzyro</w:t>
      </w:r>
      <w:proofErr w:type="spellEnd"/>
      <w:r w:rsidRPr="00074A27">
        <w:t xml:space="preserve"> will be formulary restricted to outpatient.</w:t>
      </w:r>
    </w:p>
    <w:p w14:paraId="63B4B6DF" w14:textId="2771718C" w:rsidR="00074A27" w:rsidRDefault="00074A27" w:rsidP="00074A27">
      <w:pPr>
        <w:pStyle w:val="Heading1"/>
      </w:pPr>
      <w:r w:rsidRPr="00074A27">
        <w:t>Complement Inhibitors, C5 and C3 (92:21.08)</w:t>
      </w:r>
    </w:p>
    <w:p w14:paraId="4337A196" w14:textId="77777777" w:rsidR="00074A27" w:rsidRDefault="00074A27" w:rsidP="00074A27">
      <w:pPr>
        <w:pStyle w:val="ListParagraph"/>
        <w:numPr>
          <w:ilvl w:val="0"/>
          <w:numId w:val="20"/>
        </w:numPr>
      </w:pPr>
      <w:r w:rsidRPr="00074A27">
        <w:t xml:space="preserve">Soliris is formulary restricted to outpatient use (not preferred) and inpatient use for atypical hemolytic uremic syndrome only. </w:t>
      </w:r>
    </w:p>
    <w:p w14:paraId="2BCC48BE" w14:textId="77777777" w:rsidR="00074A27" w:rsidRDefault="00074A27" w:rsidP="00074A27">
      <w:pPr>
        <w:pStyle w:val="ListParagraph"/>
        <w:numPr>
          <w:ilvl w:val="0"/>
          <w:numId w:val="20"/>
        </w:numPr>
      </w:pPr>
      <w:proofErr w:type="spellStart"/>
      <w:r w:rsidRPr="00074A27">
        <w:t>Ultomiris</w:t>
      </w:r>
      <w:proofErr w:type="spellEnd"/>
      <w:r w:rsidRPr="00074A27">
        <w:t xml:space="preserve"> is formulary restricted to outpatient use only (preferred). </w:t>
      </w:r>
    </w:p>
    <w:p w14:paraId="7F99ED89" w14:textId="483EC9B0" w:rsidR="00074A27" w:rsidRDefault="00074A27" w:rsidP="00074A27">
      <w:pPr>
        <w:pStyle w:val="ListParagraph"/>
        <w:numPr>
          <w:ilvl w:val="0"/>
          <w:numId w:val="20"/>
        </w:numPr>
      </w:pPr>
      <w:proofErr w:type="spellStart"/>
      <w:r w:rsidRPr="00074A27">
        <w:t>Empaveli</w:t>
      </w:r>
      <w:proofErr w:type="spellEnd"/>
      <w:r w:rsidRPr="00074A27">
        <w:t xml:space="preserve"> and </w:t>
      </w:r>
      <w:proofErr w:type="spellStart"/>
      <w:r w:rsidRPr="00074A27">
        <w:t>Veopoz</w:t>
      </w:r>
      <w:proofErr w:type="spellEnd"/>
      <w:r w:rsidRPr="00074A27">
        <w:t xml:space="preserve"> will be nonformulary.</w:t>
      </w:r>
    </w:p>
    <w:p w14:paraId="0798C595" w14:textId="32B51CE3" w:rsidR="00074A27" w:rsidRDefault="00B46FF4" w:rsidP="00074A27">
      <w:pPr>
        <w:pStyle w:val="Heading1"/>
      </w:pPr>
      <w:r w:rsidRPr="00B46FF4">
        <w:t>Fibric Acid Derivatives (24:06.06)</w:t>
      </w:r>
    </w:p>
    <w:p w14:paraId="4882BBED" w14:textId="77777777" w:rsidR="00B46FF4" w:rsidRDefault="00B46FF4" w:rsidP="00B46FF4">
      <w:pPr>
        <w:pStyle w:val="ListParagraph"/>
        <w:numPr>
          <w:ilvl w:val="0"/>
          <w:numId w:val="21"/>
        </w:numPr>
      </w:pPr>
      <w:r w:rsidRPr="00B46FF4">
        <w:t xml:space="preserve">Fenofibrate (Tricor) &amp; gemfibrozil will be formulary.  </w:t>
      </w:r>
    </w:p>
    <w:p w14:paraId="5615507F" w14:textId="5DD10BB7" w:rsidR="00B46FF4" w:rsidRDefault="00B46FF4" w:rsidP="00B46FF4">
      <w:pPr>
        <w:pStyle w:val="ListParagraph"/>
        <w:numPr>
          <w:ilvl w:val="0"/>
          <w:numId w:val="21"/>
        </w:numPr>
      </w:pPr>
      <w:r w:rsidRPr="00B46FF4">
        <w:t>Fenofibrate (Antara), fenofibrate (</w:t>
      </w:r>
      <w:proofErr w:type="spellStart"/>
      <w:r w:rsidRPr="00B46FF4">
        <w:t>Lofibra</w:t>
      </w:r>
      <w:proofErr w:type="spellEnd"/>
      <w:r w:rsidRPr="00B46FF4">
        <w:t>), &amp; fenofibrate (</w:t>
      </w:r>
      <w:proofErr w:type="spellStart"/>
      <w:r w:rsidRPr="00B46FF4">
        <w:t>Trilipix</w:t>
      </w:r>
      <w:proofErr w:type="spellEnd"/>
      <w:r w:rsidRPr="00B46FF4">
        <w:t>) will be non-formulary</w:t>
      </w:r>
      <w:r>
        <w:t>.</w:t>
      </w:r>
    </w:p>
    <w:p w14:paraId="29252C85" w14:textId="3530BE1D" w:rsidR="00B46FF4" w:rsidRDefault="00C73441" w:rsidP="00C73441">
      <w:pPr>
        <w:pStyle w:val="Heading1"/>
      </w:pPr>
      <w:r w:rsidRPr="00C73441">
        <w:t>Fluoroquinolones (8:12.18)</w:t>
      </w:r>
    </w:p>
    <w:p w14:paraId="59A106A9" w14:textId="77777777" w:rsidR="00C73441" w:rsidRDefault="00C73441" w:rsidP="00C73441">
      <w:pPr>
        <w:pStyle w:val="ListParagraph"/>
        <w:numPr>
          <w:ilvl w:val="0"/>
          <w:numId w:val="22"/>
        </w:numPr>
      </w:pPr>
      <w:r w:rsidRPr="00C73441">
        <w:t xml:space="preserve">Ciprofloxacin </w:t>
      </w:r>
      <w:r>
        <w:t>and</w:t>
      </w:r>
      <w:r w:rsidRPr="00C73441">
        <w:t xml:space="preserve"> levofloxacin will be formulary.  </w:t>
      </w:r>
    </w:p>
    <w:p w14:paraId="7B4F5AB6" w14:textId="448C68E6" w:rsidR="00C73441" w:rsidRDefault="00C73441" w:rsidP="00C73441">
      <w:pPr>
        <w:pStyle w:val="ListParagraph"/>
        <w:numPr>
          <w:ilvl w:val="0"/>
          <w:numId w:val="22"/>
        </w:numPr>
      </w:pPr>
      <w:r w:rsidRPr="00C73441">
        <w:lastRenderedPageBreak/>
        <w:t>Moxifloxacin will be formulary restricted to non-tuberculosis mycobacterium indications.</w:t>
      </w:r>
    </w:p>
    <w:p w14:paraId="5FA8A582" w14:textId="2B9DE09E" w:rsidR="00C73441" w:rsidRDefault="002D5F4E" w:rsidP="002D5F4E">
      <w:pPr>
        <w:pStyle w:val="Heading1"/>
      </w:pPr>
      <w:r w:rsidRPr="002D5F4E">
        <w:t>Opiate Antagonists (28:10)</w:t>
      </w:r>
    </w:p>
    <w:p w14:paraId="72EDBE72" w14:textId="1340CFCF" w:rsidR="002D5F4E" w:rsidRDefault="002D5F4E" w:rsidP="002D5F4E">
      <w:pPr>
        <w:pStyle w:val="ListParagraph"/>
        <w:numPr>
          <w:ilvl w:val="0"/>
          <w:numId w:val="23"/>
        </w:numPr>
      </w:pPr>
      <w:r w:rsidRPr="002D5F4E">
        <w:t xml:space="preserve">Naloxone injection </w:t>
      </w:r>
      <w:r>
        <w:t xml:space="preserve">and tablets </w:t>
      </w:r>
      <w:r w:rsidRPr="002D5F4E">
        <w:t xml:space="preserve">will be formulary. </w:t>
      </w:r>
    </w:p>
    <w:p w14:paraId="6CF8928F" w14:textId="77777777" w:rsidR="002D5F4E" w:rsidRDefault="002D5F4E" w:rsidP="002D5F4E">
      <w:pPr>
        <w:pStyle w:val="ListParagraph"/>
        <w:numPr>
          <w:ilvl w:val="0"/>
          <w:numId w:val="23"/>
        </w:numPr>
      </w:pPr>
      <w:r w:rsidRPr="002D5F4E">
        <w:t xml:space="preserve">Naloxone nasal spray will be restricted to outpatient use. </w:t>
      </w:r>
    </w:p>
    <w:p w14:paraId="0FA6C87D" w14:textId="77777777" w:rsidR="002D5F4E" w:rsidRDefault="002D5F4E" w:rsidP="002D5F4E">
      <w:pPr>
        <w:pStyle w:val="ListParagraph"/>
        <w:numPr>
          <w:ilvl w:val="0"/>
          <w:numId w:val="23"/>
        </w:numPr>
      </w:pPr>
      <w:r w:rsidRPr="002D5F4E">
        <w:t xml:space="preserve">Naltrexone injection will be formulary restricted to outpatient use. </w:t>
      </w:r>
    </w:p>
    <w:p w14:paraId="4F2772F0" w14:textId="6291D50A" w:rsidR="002D5F4E" w:rsidRPr="002D5F4E" w:rsidRDefault="002D5F4E" w:rsidP="002D5F4E">
      <w:pPr>
        <w:pStyle w:val="ListParagraph"/>
        <w:numPr>
          <w:ilvl w:val="0"/>
          <w:numId w:val="23"/>
        </w:numPr>
      </w:pPr>
      <w:proofErr w:type="spellStart"/>
      <w:r w:rsidRPr="002D5F4E">
        <w:t>Nalmefene</w:t>
      </w:r>
      <w:proofErr w:type="spellEnd"/>
      <w:r w:rsidRPr="002D5F4E">
        <w:t xml:space="preserve"> will be non-formulary.</w:t>
      </w:r>
    </w:p>
    <w:p w14:paraId="1A4D5065" w14:textId="77AC2A50" w:rsidR="000353CB" w:rsidRDefault="00BF4219" w:rsidP="000353CB">
      <w:pPr>
        <w:pStyle w:val="Heading1"/>
      </w:pPr>
      <w:proofErr w:type="spellStart"/>
      <w:r w:rsidRPr="00BF4219">
        <w:t>Penicillins</w:t>
      </w:r>
      <w:proofErr w:type="spellEnd"/>
      <w:r w:rsidRPr="00BF4219">
        <w:t xml:space="preserve"> (8:12.16)</w:t>
      </w:r>
    </w:p>
    <w:p w14:paraId="10A6D45D" w14:textId="77777777" w:rsidR="00BF4219" w:rsidRDefault="00BF4219" w:rsidP="00BF4219">
      <w:pPr>
        <w:pStyle w:val="ListParagraph"/>
        <w:numPr>
          <w:ilvl w:val="0"/>
          <w:numId w:val="25"/>
        </w:numPr>
      </w:pPr>
      <w:r w:rsidRPr="00BF4219">
        <w:t xml:space="preserve">Penicillin GK, </w:t>
      </w:r>
      <w:proofErr w:type="spellStart"/>
      <w:r w:rsidRPr="00BF4219">
        <w:t>penicilinn</w:t>
      </w:r>
      <w:proofErr w:type="spellEnd"/>
      <w:r w:rsidRPr="00BF4219">
        <w:t xml:space="preserve"> VK, penicillin G benzathine (</w:t>
      </w:r>
      <w:proofErr w:type="spellStart"/>
      <w:r w:rsidRPr="00BF4219">
        <w:t>Bicillin</w:t>
      </w:r>
      <w:proofErr w:type="spellEnd"/>
      <w:r w:rsidRPr="00BF4219">
        <w:t xml:space="preserve"> LA), penicillin benzathine/procaine (</w:t>
      </w:r>
      <w:proofErr w:type="spellStart"/>
      <w:r w:rsidRPr="00BF4219">
        <w:t>Bicillin</w:t>
      </w:r>
      <w:proofErr w:type="spellEnd"/>
      <w:r w:rsidRPr="00BF4219">
        <w:t xml:space="preserve"> CR), amoxicillin, amoxicillin/clavulanate, ampicillin, ampicillin/sulbactam, oxacillin, dicloxacillin, and piperacillin/tazobactam will be formulary. </w:t>
      </w:r>
    </w:p>
    <w:p w14:paraId="0EF39085" w14:textId="5000D7D3" w:rsidR="00BF4219" w:rsidRDefault="00BF4219" w:rsidP="00BF4219">
      <w:pPr>
        <w:pStyle w:val="ListParagraph"/>
        <w:numPr>
          <w:ilvl w:val="0"/>
          <w:numId w:val="25"/>
        </w:numPr>
      </w:pPr>
      <w:r w:rsidRPr="00BF4219">
        <w:t>Nafcillin &amp; ticarcillin/clavulanate will be non-formulary</w:t>
      </w:r>
      <w:r>
        <w:t>.</w:t>
      </w:r>
    </w:p>
    <w:p w14:paraId="6C361D8C" w14:textId="0D5BEC64" w:rsidR="00BF4219" w:rsidRDefault="004A7A92" w:rsidP="004A7A92">
      <w:pPr>
        <w:pStyle w:val="Heading1"/>
      </w:pPr>
      <w:r w:rsidRPr="004A7A92">
        <w:t>Peripherally-Acting Mu-Opioid Receptor Antagonists (PAMORA) (56:92)</w:t>
      </w:r>
    </w:p>
    <w:p w14:paraId="65E87E49" w14:textId="77777777" w:rsidR="00AA7CE4" w:rsidRDefault="00AA7CE4" w:rsidP="004A7A92">
      <w:pPr>
        <w:pStyle w:val="ListParagraph"/>
        <w:numPr>
          <w:ilvl w:val="0"/>
          <w:numId w:val="26"/>
        </w:numPr>
      </w:pPr>
      <w:r w:rsidRPr="00AA7CE4">
        <w:t xml:space="preserve">Alvimopan will be formulary.  </w:t>
      </w:r>
    </w:p>
    <w:p w14:paraId="279650B7" w14:textId="4F7728E6" w:rsidR="00AA7CE4" w:rsidRDefault="00AA7CE4" w:rsidP="004A7A92">
      <w:pPr>
        <w:pStyle w:val="ListParagraph"/>
        <w:numPr>
          <w:ilvl w:val="0"/>
          <w:numId w:val="26"/>
        </w:numPr>
      </w:pPr>
      <w:r w:rsidRPr="00AA7CE4">
        <w:t>Methylnaltrexone will be formulary-restricted to palliative care, oncology, failure of at least 2 other laxatives</w:t>
      </w:r>
      <w:r w:rsidR="00C80F28">
        <w:t xml:space="preserve">, and patients unable to take tablets. </w:t>
      </w:r>
    </w:p>
    <w:p w14:paraId="53177B17" w14:textId="77777777" w:rsidR="00AA7CE4" w:rsidRDefault="00AA7CE4" w:rsidP="004A7A92">
      <w:pPr>
        <w:pStyle w:val="ListParagraph"/>
        <w:numPr>
          <w:ilvl w:val="0"/>
          <w:numId w:val="26"/>
        </w:numPr>
      </w:pPr>
      <w:r w:rsidRPr="00AA7CE4">
        <w:t>Naloxegol will be formulary-restricted to patients that have failed at least 2 other laxatives.</w:t>
      </w:r>
    </w:p>
    <w:p w14:paraId="7D7D1C70" w14:textId="6B9BCD14" w:rsidR="004A7A92" w:rsidRDefault="00AA7CE4" w:rsidP="004A7A92">
      <w:pPr>
        <w:pStyle w:val="ListParagraph"/>
        <w:numPr>
          <w:ilvl w:val="0"/>
          <w:numId w:val="26"/>
        </w:numPr>
      </w:pPr>
      <w:r w:rsidRPr="00AA7CE4">
        <w:t>Naldemedine will be non-formulary.</w:t>
      </w:r>
    </w:p>
    <w:p w14:paraId="3460F502" w14:textId="5223BA98" w:rsidR="00AA7CE4" w:rsidRDefault="00DE0385" w:rsidP="00DE0385">
      <w:pPr>
        <w:pStyle w:val="Heading1"/>
      </w:pPr>
      <w:r w:rsidRPr="00DE0385">
        <w:t>Polymyxins (8.12.28.28)</w:t>
      </w:r>
    </w:p>
    <w:p w14:paraId="653738C4" w14:textId="797041F4" w:rsidR="00DE0385" w:rsidRDefault="00DE0385" w:rsidP="00DE0385">
      <w:pPr>
        <w:pStyle w:val="ListParagraph"/>
        <w:numPr>
          <w:ilvl w:val="0"/>
          <w:numId w:val="27"/>
        </w:numPr>
      </w:pPr>
      <w:proofErr w:type="spellStart"/>
      <w:r w:rsidRPr="00DE0385">
        <w:t>Colistimethate</w:t>
      </w:r>
      <w:proofErr w:type="spellEnd"/>
      <w:r w:rsidRPr="00DE0385">
        <w:t xml:space="preserve"> and polymyxin b will be formulary with the IV formulations restricted to infectious disease providers or critical care providers </w:t>
      </w:r>
      <w:r>
        <w:t>at facilities where</w:t>
      </w:r>
      <w:r w:rsidRPr="00DE0385">
        <w:t xml:space="preserve"> infectious disease providers are not available.</w:t>
      </w:r>
    </w:p>
    <w:p w14:paraId="7C235DE7" w14:textId="02DFDAF4" w:rsidR="00DE0552" w:rsidRDefault="00DE0552" w:rsidP="00DE0552">
      <w:pPr>
        <w:pStyle w:val="Heading1"/>
      </w:pPr>
      <w:r w:rsidRPr="00DE0552">
        <w:t>Post-menopausal Osteoporosis Treatments, non-bisphosphonates (92:24, 24:22, 64:24.08, 68:16.12)</w:t>
      </w:r>
    </w:p>
    <w:p w14:paraId="6A8556A6" w14:textId="77777777" w:rsidR="00DE0552" w:rsidRDefault="00DE0552" w:rsidP="00DE0552">
      <w:pPr>
        <w:pStyle w:val="ListParagraph"/>
        <w:numPr>
          <w:ilvl w:val="0"/>
          <w:numId w:val="28"/>
        </w:numPr>
      </w:pPr>
      <w:r w:rsidRPr="00DE0552">
        <w:t xml:space="preserve">Denosumab and </w:t>
      </w:r>
      <w:proofErr w:type="spellStart"/>
      <w:r w:rsidRPr="00DE0552">
        <w:t>romosozumab</w:t>
      </w:r>
      <w:proofErr w:type="spellEnd"/>
      <w:r w:rsidRPr="00DE0552">
        <w:t xml:space="preserve"> will be formulary restricted to outpatient. </w:t>
      </w:r>
    </w:p>
    <w:p w14:paraId="538ADBD2" w14:textId="77777777" w:rsidR="00DE0552" w:rsidRDefault="00DE0552" w:rsidP="00DE0552">
      <w:pPr>
        <w:pStyle w:val="ListParagraph"/>
        <w:numPr>
          <w:ilvl w:val="0"/>
          <w:numId w:val="28"/>
        </w:numPr>
      </w:pPr>
      <w:r w:rsidRPr="00DE0552">
        <w:t xml:space="preserve">Raloxifene will be formulary. </w:t>
      </w:r>
    </w:p>
    <w:p w14:paraId="76B4FABA" w14:textId="185A1957" w:rsidR="00DE0552" w:rsidRDefault="00DE0552" w:rsidP="00DE0552">
      <w:pPr>
        <w:pStyle w:val="ListParagraph"/>
        <w:numPr>
          <w:ilvl w:val="0"/>
          <w:numId w:val="28"/>
        </w:numPr>
      </w:pPr>
      <w:r w:rsidRPr="00DE0552">
        <w:t xml:space="preserve">Teriparatide, </w:t>
      </w:r>
      <w:proofErr w:type="spellStart"/>
      <w:r w:rsidRPr="00DE0552">
        <w:t>abaloparatide</w:t>
      </w:r>
      <w:proofErr w:type="spellEnd"/>
      <w:r w:rsidRPr="00DE0552">
        <w:t>, and bazedoxifene will be non-formulary.</w:t>
      </w:r>
    </w:p>
    <w:p w14:paraId="1159C627" w14:textId="29CDAD31" w:rsidR="00DE0552" w:rsidRDefault="009B581B" w:rsidP="009B581B">
      <w:pPr>
        <w:pStyle w:val="Heading1"/>
      </w:pPr>
      <w:r w:rsidRPr="009B581B">
        <w:t>Protease Inhibitors (PIs) (8:18.08)</w:t>
      </w:r>
    </w:p>
    <w:p w14:paraId="1C7EC798" w14:textId="77777777" w:rsidR="009B581B" w:rsidRDefault="009B581B" w:rsidP="009B581B">
      <w:pPr>
        <w:pStyle w:val="ListParagraph"/>
        <w:numPr>
          <w:ilvl w:val="0"/>
          <w:numId w:val="29"/>
        </w:numPr>
      </w:pPr>
      <w:proofErr w:type="spellStart"/>
      <w:r w:rsidRPr="009B581B">
        <w:t>Reyataz</w:t>
      </w:r>
      <w:proofErr w:type="spellEnd"/>
      <w:r w:rsidRPr="009B581B">
        <w:t xml:space="preserve"> (atazanavir), </w:t>
      </w:r>
      <w:proofErr w:type="spellStart"/>
      <w:r w:rsidRPr="009B581B">
        <w:t>Prezista</w:t>
      </w:r>
      <w:proofErr w:type="spellEnd"/>
      <w:r w:rsidRPr="009B581B">
        <w:t xml:space="preserve"> (darunavir) tablet, and </w:t>
      </w:r>
      <w:proofErr w:type="spellStart"/>
      <w:r w:rsidRPr="009B581B">
        <w:t>Norvir</w:t>
      </w:r>
      <w:proofErr w:type="spellEnd"/>
      <w:r w:rsidRPr="009B581B">
        <w:t xml:space="preserve"> (ritonavir) tablet and oral powder will be formulary. </w:t>
      </w:r>
    </w:p>
    <w:p w14:paraId="3042454E" w14:textId="77777777" w:rsidR="009B581B" w:rsidRDefault="009B581B" w:rsidP="009B581B">
      <w:pPr>
        <w:pStyle w:val="ListParagraph"/>
        <w:numPr>
          <w:ilvl w:val="0"/>
          <w:numId w:val="29"/>
        </w:numPr>
      </w:pPr>
      <w:proofErr w:type="spellStart"/>
      <w:r w:rsidRPr="009B581B">
        <w:t>Kaletra</w:t>
      </w:r>
      <w:proofErr w:type="spellEnd"/>
      <w:r w:rsidRPr="009B581B">
        <w:t xml:space="preserve"> (lopinavir/ritonavir) oral solution will be formulary restricted to pediatrics. </w:t>
      </w:r>
    </w:p>
    <w:p w14:paraId="63E2F9F9" w14:textId="77777777" w:rsidR="009B581B" w:rsidRDefault="009B581B" w:rsidP="009B581B">
      <w:pPr>
        <w:pStyle w:val="ListParagraph"/>
        <w:numPr>
          <w:ilvl w:val="0"/>
          <w:numId w:val="29"/>
        </w:numPr>
      </w:pPr>
      <w:proofErr w:type="spellStart"/>
      <w:r w:rsidRPr="009B581B">
        <w:lastRenderedPageBreak/>
        <w:t>Prezista</w:t>
      </w:r>
      <w:proofErr w:type="spellEnd"/>
      <w:r w:rsidRPr="009B581B">
        <w:t xml:space="preserve"> (darunavir) oral solution and </w:t>
      </w:r>
      <w:proofErr w:type="spellStart"/>
      <w:r w:rsidRPr="009B581B">
        <w:t>Norvir</w:t>
      </w:r>
      <w:proofErr w:type="spellEnd"/>
      <w:r w:rsidRPr="009B581B">
        <w:t xml:space="preserve"> (ritonavir) capsule and oral solution will be non-formulary. </w:t>
      </w:r>
    </w:p>
    <w:p w14:paraId="2DD4B450" w14:textId="79699E18" w:rsidR="009B581B" w:rsidRDefault="009B581B" w:rsidP="009B581B">
      <w:pPr>
        <w:pStyle w:val="ListParagraph"/>
        <w:numPr>
          <w:ilvl w:val="0"/>
          <w:numId w:val="29"/>
        </w:numPr>
      </w:pPr>
      <w:proofErr w:type="spellStart"/>
      <w:r w:rsidRPr="009B581B">
        <w:t>Lexiva</w:t>
      </w:r>
      <w:proofErr w:type="spellEnd"/>
      <w:r w:rsidRPr="009B581B">
        <w:t xml:space="preserve"> (</w:t>
      </w:r>
      <w:proofErr w:type="spellStart"/>
      <w:r w:rsidRPr="009B581B">
        <w:t>fosamprenavir</w:t>
      </w:r>
      <w:proofErr w:type="spellEnd"/>
      <w:r w:rsidRPr="009B581B">
        <w:t xml:space="preserve">), </w:t>
      </w:r>
      <w:proofErr w:type="spellStart"/>
      <w:r w:rsidRPr="009B581B">
        <w:t>Crixivan</w:t>
      </w:r>
      <w:proofErr w:type="spellEnd"/>
      <w:r w:rsidRPr="009B581B">
        <w:t xml:space="preserve"> (indinavir), </w:t>
      </w:r>
      <w:proofErr w:type="spellStart"/>
      <w:r w:rsidRPr="009B581B">
        <w:t>Kaletra</w:t>
      </w:r>
      <w:proofErr w:type="spellEnd"/>
      <w:r w:rsidRPr="009B581B">
        <w:t xml:space="preserve"> (lopinavir/ritonavir) tablets, </w:t>
      </w:r>
      <w:proofErr w:type="spellStart"/>
      <w:r w:rsidRPr="009B581B">
        <w:t>Viracept</w:t>
      </w:r>
      <w:proofErr w:type="spellEnd"/>
      <w:r w:rsidRPr="009B581B">
        <w:t xml:space="preserve"> (nelfinavir), Invirase (saquinavir), and </w:t>
      </w:r>
      <w:proofErr w:type="spellStart"/>
      <w:r w:rsidRPr="009B581B">
        <w:t>Aptivus</w:t>
      </w:r>
      <w:proofErr w:type="spellEnd"/>
      <w:r w:rsidRPr="009B581B">
        <w:t xml:space="preserve"> (tipranavir) will be non-formulary.</w:t>
      </w:r>
    </w:p>
    <w:p w14:paraId="39328342" w14:textId="48B4F258" w:rsidR="009B581B" w:rsidRDefault="007E1113" w:rsidP="007E1113">
      <w:pPr>
        <w:pStyle w:val="Heading1"/>
      </w:pPr>
      <w:r w:rsidRPr="007E1113">
        <w:t>Proton-Pump Inhibitors (56:28.36)</w:t>
      </w:r>
    </w:p>
    <w:p w14:paraId="5864E567" w14:textId="77777777" w:rsidR="007E1113" w:rsidRDefault="007E1113" w:rsidP="007E1113">
      <w:pPr>
        <w:pStyle w:val="ListParagraph"/>
        <w:numPr>
          <w:ilvl w:val="0"/>
          <w:numId w:val="30"/>
        </w:numPr>
      </w:pPr>
      <w:r w:rsidRPr="007E1113">
        <w:t xml:space="preserve">Pantoprazole will </w:t>
      </w:r>
      <w:r>
        <w:t>be</w:t>
      </w:r>
      <w:r w:rsidRPr="007E1113">
        <w:t xml:space="preserve"> formulary. </w:t>
      </w:r>
    </w:p>
    <w:p w14:paraId="75121A42" w14:textId="77777777" w:rsidR="007E1113" w:rsidRDefault="007E1113" w:rsidP="007E1113">
      <w:pPr>
        <w:pStyle w:val="ListParagraph"/>
        <w:numPr>
          <w:ilvl w:val="0"/>
          <w:numId w:val="30"/>
        </w:numPr>
      </w:pPr>
      <w:r w:rsidRPr="007E1113">
        <w:t xml:space="preserve">Esomeprazole and omeprazole will </w:t>
      </w:r>
      <w:r>
        <w:t>be</w:t>
      </w:r>
      <w:r w:rsidRPr="007E1113">
        <w:t xml:space="preserve"> formulary restricted to pediatrics. </w:t>
      </w:r>
    </w:p>
    <w:p w14:paraId="02BD3483" w14:textId="77777777" w:rsidR="007E1113" w:rsidRDefault="007E1113" w:rsidP="007E1113">
      <w:pPr>
        <w:pStyle w:val="ListParagraph"/>
        <w:numPr>
          <w:ilvl w:val="0"/>
          <w:numId w:val="30"/>
        </w:numPr>
      </w:pPr>
      <w:r w:rsidRPr="007E1113">
        <w:t>Lansoprazole Solu-Tab will</w:t>
      </w:r>
      <w:r>
        <w:t xml:space="preserve"> be</w:t>
      </w:r>
      <w:r w:rsidRPr="007E1113">
        <w:t xml:space="preserve"> formulary restricted for enteral tubes. </w:t>
      </w:r>
    </w:p>
    <w:p w14:paraId="0A8DEB11" w14:textId="5A86DC45" w:rsidR="007E1113" w:rsidRDefault="007E1113" w:rsidP="007E1113">
      <w:pPr>
        <w:pStyle w:val="ListParagraph"/>
        <w:numPr>
          <w:ilvl w:val="0"/>
          <w:numId w:val="30"/>
        </w:numPr>
      </w:pPr>
      <w:proofErr w:type="spellStart"/>
      <w:r w:rsidRPr="007E1113">
        <w:t>Dexlansoprazole</w:t>
      </w:r>
      <w:proofErr w:type="spellEnd"/>
      <w:r w:rsidRPr="007E1113">
        <w:t xml:space="preserve"> and rabeprazole will remain non-formulary.</w:t>
      </w:r>
    </w:p>
    <w:p w14:paraId="052888A0" w14:textId="05DC974E" w:rsidR="0028697F" w:rsidRDefault="0028697F" w:rsidP="0028697F">
      <w:pPr>
        <w:pStyle w:val="Heading1"/>
      </w:pPr>
      <w:proofErr w:type="spellStart"/>
      <w:r w:rsidRPr="0028697F">
        <w:t>Rolvedon</w:t>
      </w:r>
      <w:proofErr w:type="spellEnd"/>
      <w:r w:rsidRPr="0028697F">
        <w:t xml:space="preserve"> (</w:t>
      </w:r>
      <w:proofErr w:type="spellStart"/>
      <w:r w:rsidRPr="0028697F">
        <w:t>eflapegrastim</w:t>
      </w:r>
      <w:proofErr w:type="spellEnd"/>
      <w:r w:rsidRPr="0028697F">
        <w:t xml:space="preserve"> G-CSF) Monograph</w:t>
      </w:r>
    </w:p>
    <w:p w14:paraId="31B2145D" w14:textId="6759E123" w:rsidR="0028697F" w:rsidRDefault="00F0279A" w:rsidP="0028697F">
      <w:pPr>
        <w:pStyle w:val="ListParagraph"/>
        <w:numPr>
          <w:ilvl w:val="0"/>
          <w:numId w:val="31"/>
        </w:numPr>
      </w:pPr>
      <w:proofErr w:type="spellStart"/>
      <w:r w:rsidRPr="00F0279A">
        <w:t>Eflapegrastim</w:t>
      </w:r>
      <w:proofErr w:type="spellEnd"/>
      <w:r w:rsidRPr="00F0279A">
        <w:t xml:space="preserve"> (G-CSF) will be restricted to outpatient use.</w:t>
      </w:r>
    </w:p>
    <w:p w14:paraId="02354044" w14:textId="7CFD059C" w:rsidR="00F0279A" w:rsidRDefault="00F0279A" w:rsidP="00F0279A">
      <w:pPr>
        <w:pStyle w:val="Heading1"/>
      </w:pPr>
      <w:r w:rsidRPr="00F0279A">
        <w:t>Scabicides/pediculicides (none)</w:t>
      </w:r>
    </w:p>
    <w:p w14:paraId="36BB2BFE" w14:textId="5271333D" w:rsidR="00F0279A" w:rsidRDefault="00F0279A" w:rsidP="00F0279A">
      <w:pPr>
        <w:pStyle w:val="ListParagraph"/>
        <w:numPr>
          <w:ilvl w:val="0"/>
          <w:numId w:val="32"/>
        </w:numPr>
      </w:pPr>
      <w:r w:rsidRPr="00F0279A">
        <w:t xml:space="preserve">Permethrin </w:t>
      </w:r>
      <w:r>
        <w:t xml:space="preserve">and ivermectin </w:t>
      </w:r>
      <w:r w:rsidRPr="00F0279A">
        <w:t xml:space="preserve">will be formulary.  </w:t>
      </w:r>
    </w:p>
    <w:p w14:paraId="082D2E0E" w14:textId="11EF8F89" w:rsidR="00F0279A" w:rsidRDefault="00F0279A" w:rsidP="00F0279A">
      <w:pPr>
        <w:pStyle w:val="ListParagraph"/>
        <w:numPr>
          <w:ilvl w:val="0"/>
          <w:numId w:val="32"/>
        </w:numPr>
      </w:pPr>
      <w:r w:rsidRPr="00F0279A">
        <w:t xml:space="preserve">Crotamiton, malathion, pyrethrin/piperonyl/butoxide, Spinosad will be non-formulary. </w:t>
      </w:r>
    </w:p>
    <w:p w14:paraId="074AA289" w14:textId="28FAA1DA" w:rsidR="00AD08D6" w:rsidRDefault="00AD08D6" w:rsidP="00AD08D6">
      <w:pPr>
        <w:pStyle w:val="Heading1"/>
      </w:pPr>
      <w:r w:rsidRPr="00AD08D6">
        <w:t>Selective Beta-2-Adrenergic Agonists (48:12.04.12)</w:t>
      </w:r>
    </w:p>
    <w:p w14:paraId="0D02FD77" w14:textId="77777777" w:rsidR="00AD08D6" w:rsidRDefault="00AD08D6" w:rsidP="00AD08D6">
      <w:pPr>
        <w:pStyle w:val="ListParagraph"/>
        <w:numPr>
          <w:ilvl w:val="0"/>
          <w:numId w:val="33"/>
        </w:numPr>
      </w:pPr>
      <w:proofErr w:type="spellStart"/>
      <w:r w:rsidRPr="00AD08D6">
        <w:t>Aformoterol</w:t>
      </w:r>
      <w:proofErr w:type="spellEnd"/>
      <w:r w:rsidRPr="00AD08D6">
        <w:t xml:space="preserve"> </w:t>
      </w:r>
      <w:r>
        <w:t>and</w:t>
      </w:r>
      <w:r w:rsidRPr="00AD08D6">
        <w:t xml:space="preserve"> salmeterol will be formulary.  </w:t>
      </w:r>
    </w:p>
    <w:p w14:paraId="1134625C" w14:textId="16C19A4E" w:rsidR="00AD08D6" w:rsidRDefault="00AD08D6" w:rsidP="00AD08D6">
      <w:pPr>
        <w:pStyle w:val="ListParagraph"/>
        <w:numPr>
          <w:ilvl w:val="0"/>
          <w:numId w:val="33"/>
        </w:numPr>
      </w:pPr>
      <w:r w:rsidRPr="00AD08D6">
        <w:t xml:space="preserve">Formoterol </w:t>
      </w:r>
      <w:proofErr w:type="spellStart"/>
      <w:r w:rsidRPr="00AD08D6">
        <w:t>fumurate</w:t>
      </w:r>
      <w:proofErr w:type="spellEnd"/>
      <w:r w:rsidRPr="00AD08D6">
        <w:t xml:space="preserve">, indacaterol, </w:t>
      </w:r>
      <w:r>
        <w:t>and</w:t>
      </w:r>
      <w:r w:rsidRPr="00AD08D6">
        <w:t xml:space="preserve"> </w:t>
      </w:r>
      <w:proofErr w:type="spellStart"/>
      <w:r w:rsidRPr="00AD08D6">
        <w:t>olodaterol</w:t>
      </w:r>
      <w:proofErr w:type="spellEnd"/>
      <w:r>
        <w:t>, v</w:t>
      </w:r>
      <w:r w:rsidRPr="00AD08D6">
        <w:t xml:space="preserve">ilanterol/umeclidinium, formoterol </w:t>
      </w:r>
      <w:proofErr w:type="spellStart"/>
      <w:r w:rsidRPr="00AD08D6">
        <w:t>fumurate</w:t>
      </w:r>
      <w:proofErr w:type="spellEnd"/>
      <w:r w:rsidRPr="00AD08D6">
        <w:t>/glycopyrrolate, formoterol fumarate/</w:t>
      </w:r>
      <w:proofErr w:type="spellStart"/>
      <w:r w:rsidRPr="00AD08D6">
        <w:t>aclinidium</w:t>
      </w:r>
      <w:proofErr w:type="spellEnd"/>
      <w:r w:rsidRPr="00AD08D6">
        <w:t xml:space="preserve"> bromide, </w:t>
      </w:r>
      <w:proofErr w:type="spellStart"/>
      <w:r w:rsidRPr="00AD08D6">
        <w:t>olodaterol</w:t>
      </w:r>
      <w:proofErr w:type="spellEnd"/>
      <w:r w:rsidRPr="00AD08D6">
        <w:t>/tiotropium</w:t>
      </w:r>
      <w:r>
        <w:t>, and</w:t>
      </w:r>
      <w:r w:rsidRPr="00AD08D6">
        <w:t xml:space="preserve"> indacaterol/glycopyrrolate will be non-formulary.</w:t>
      </w:r>
    </w:p>
    <w:p w14:paraId="5F0EA2AB" w14:textId="21BDA240" w:rsidR="00E11B8B" w:rsidRDefault="002F4E9A" w:rsidP="00E11B8B">
      <w:pPr>
        <w:pStyle w:val="Heading1"/>
      </w:pPr>
      <w:r w:rsidRPr="002F4E9A">
        <w:t>Selective Serotonin Agonists (28:32.28)</w:t>
      </w:r>
    </w:p>
    <w:p w14:paraId="560F796B" w14:textId="77777777" w:rsidR="00C65B36" w:rsidRDefault="00C65B36" w:rsidP="002F4E9A">
      <w:pPr>
        <w:pStyle w:val="ListParagraph"/>
        <w:numPr>
          <w:ilvl w:val="0"/>
          <w:numId w:val="34"/>
        </w:numPr>
      </w:pPr>
      <w:r w:rsidRPr="00C65B36">
        <w:t xml:space="preserve">Sumatriptan will be formulary.  </w:t>
      </w:r>
    </w:p>
    <w:p w14:paraId="1DCFE457" w14:textId="5FFC3AFD" w:rsidR="002F4E9A" w:rsidRDefault="00C65B36" w:rsidP="002F4E9A">
      <w:pPr>
        <w:pStyle w:val="ListParagraph"/>
        <w:numPr>
          <w:ilvl w:val="0"/>
          <w:numId w:val="34"/>
        </w:numPr>
      </w:pPr>
      <w:proofErr w:type="spellStart"/>
      <w:r w:rsidRPr="00C65B36">
        <w:t>Almotriptan</w:t>
      </w:r>
      <w:proofErr w:type="spellEnd"/>
      <w:r w:rsidRPr="00C65B36">
        <w:t xml:space="preserve">, </w:t>
      </w:r>
      <w:proofErr w:type="spellStart"/>
      <w:r w:rsidRPr="00C65B36">
        <w:t>eletriptan</w:t>
      </w:r>
      <w:proofErr w:type="spellEnd"/>
      <w:r w:rsidRPr="00C65B36">
        <w:t>, naratriptan, rizatriptan, zolmitriptan, and sumatriptan/naproxen will be non-formular</w:t>
      </w:r>
      <w:r>
        <w:t>y</w:t>
      </w:r>
      <w:r w:rsidRPr="00C65B36">
        <w:t>.</w:t>
      </w:r>
    </w:p>
    <w:p w14:paraId="04F7C3EC" w14:textId="2A30550A" w:rsidR="00C65B36" w:rsidRDefault="00C65B36" w:rsidP="00C65B36">
      <w:pPr>
        <w:pStyle w:val="Heading1"/>
      </w:pPr>
      <w:r w:rsidRPr="00C65B36">
        <w:t>Somatostatin Analogs (68:29.04)</w:t>
      </w:r>
    </w:p>
    <w:p w14:paraId="3BA9804D" w14:textId="77777777" w:rsidR="003763A7" w:rsidRDefault="003763A7" w:rsidP="00C65B36">
      <w:pPr>
        <w:pStyle w:val="ListParagraph"/>
        <w:numPr>
          <w:ilvl w:val="0"/>
          <w:numId w:val="35"/>
        </w:numPr>
      </w:pPr>
      <w:r w:rsidRPr="003763A7">
        <w:t xml:space="preserve">Octreotide (regular) will be formulary. </w:t>
      </w:r>
    </w:p>
    <w:p w14:paraId="0D387546" w14:textId="77777777" w:rsidR="003763A7" w:rsidRDefault="003763A7" w:rsidP="00C65B36">
      <w:pPr>
        <w:pStyle w:val="ListParagraph"/>
        <w:numPr>
          <w:ilvl w:val="0"/>
          <w:numId w:val="35"/>
        </w:numPr>
      </w:pPr>
      <w:r w:rsidRPr="003763A7">
        <w:t xml:space="preserve">Octreotide acetate LAR will be formulary-restricted to outpatient and in conjunction with </w:t>
      </w:r>
      <w:proofErr w:type="spellStart"/>
      <w:r w:rsidRPr="003763A7">
        <w:t>Lutathera</w:t>
      </w:r>
      <w:proofErr w:type="spellEnd"/>
      <w:r w:rsidRPr="003763A7">
        <w:t xml:space="preserve"> administration in same day admissions only. </w:t>
      </w:r>
    </w:p>
    <w:p w14:paraId="3D966CC8" w14:textId="77777777" w:rsidR="003763A7" w:rsidRDefault="003763A7" w:rsidP="00C65B36">
      <w:pPr>
        <w:pStyle w:val="ListParagraph"/>
        <w:numPr>
          <w:ilvl w:val="0"/>
          <w:numId w:val="35"/>
        </w:numPr>
      </w:pPr>
      <w:proofErr w:type="spellStart"/>
      <w:r w:rsidRPr="003763A7">
        <w:t>Lanreotide</w:t>
      </w:r>
      <w:proofErr w:type="spellEnd"/>
      <w:r w:rsidRPr="003763A7">
        <w:t xml:space="preserve"> will be formulary-restricted to outpatient use only. </w:t>
      </w:r>
    </w:p>
    <w:p w14:paraId="45511E67" w14:textId="49F7AC36" w:rsidR="00C65B36" w:rsidRDefault="003763A7" w:rsidP="00C65B36">
      <w:pPr>
        <w:pStyle w:val="ListParagraph"/>
        <w:numPr>
          <w:ilvl w:val="0"/>
          <w:numId w:val="35"/>
        </w:numPr>
      </w:pPr>
      <w:proofErr w:type="spellStart"/>
      <w:r w:rsidRPr="003763A7">
        <w:t>Pasireotide</w:t>
      </w:r>
      <w:proofErr w:type="spellEnd"/>
      <w:r w:rsidRPr="003763A7">
        <w:t xml:space="preserve"> will be non-formulary.</w:t>
      </w:r>
    </w:p>
    <w:p w14:paraId="529125B8" w14:textId="575F150A" w:rsidR="003763A7" w:rsidRDefault="003763A7" w:rsidP="003763A7">
      <w:pPr>
        <w:pStyle w:val="Heading1"/>
      </w:pPr>
      <w:r w:rsidRPr="003763A7">
        <w:lastRenderedPageBreak/>
        <w:t>Surfactant (48:36)</w:t>
      </w:r>
    </w:p>
    <w:p w14:paraId="2C6EC99A" w14:textId="515944D5" w:rsidR="000E2D0A" w:rsidRDefault="000E2D0A" w:rsidP="003763A7">
      <w:pPr>
        <w:pStyle w:val="ListParagraph"/>
        <w:numPr>
          <w:ilvl w:val="0"/>
          <w:numId w:val="36"/>
        </w:numPr>
      </w:pPr>
      <w:proofErr w:type="spellStart"/>
      <w:r w:rsidRPr="000E2D0A">
        <w:t>P</w:t>
      </w:r>
      <w:r w:rsidR="0064762B">
        <w:t>or</w:t>
      </w:r>
      <w:r w:rsidRPr="000E2D0A">
        <w:t>actant</w:t>
      </w:r>
      <w:proofErr w:type="spellEnd"/>
      <w:r w:rsidRPr="000E2D0A">
        <w:t xml:space="preserve"> alfa will be formulary.  </w:t>
      </w:r>
    </w:p>
    <w:p w14:paraId="0865FD9D" w14:textId="19C9ECC6" w:rsidR="003763A7" w:rsidRDefault="000E2D0A" w:rsidP="003763A7">
      <w:pPr>
        <w:pStyle w:val="ListParagraph"/>
        <w:numPr>
          <w:ilvl w:val="0"/>
          <w:numId w:val="36"/>
        </w:numPr>
      </w:pPr>
      <w:proofErr w:type="spellStart"/>
      <w:r w:rsidRPr="000E2D0A">
        <w:t>Calfactant</w:t>
      </w:r>
      <w:proofErr w:type="spellEnd"/>
      <w:r w:rsidR="0064762B">
        <w:t xml:space="preserve"> (</w:t>
      </w:r>
      <w:proofErr w:type="spellStart"/>
      <w:r w:rsidR="0064762B">
        <w:t>Infasurf</w:t>
      </w:r>
      <w:proofErr w:type="spellEnd"/>
      <w:r w:rsidR="0064762B">
        <w:t>)</w:t>
      </w:r>
      <w:r w:rsidRPr="000E2D0A">
        <w:t xml:space="preserve"> and </w:t>
      </w:r>
      <w:r w:rsidR="0064762B">
        <w:t>beractant (</w:t>
      </w:r>
      <w:proofErr w:type="spellStart"/>
      <w:r w:rsidR="0064762B">
        <w:t>Survanta</w:t>
      </w:r>
      <w:proofErr w:type="spellEnd"/>
      <w:r w:rsidR="0064762B">
        <w:t xml:space="preserve">) </w:t>
      </w:r>
      <w:r w:rsidRPr="000E2D0A">
        <w:t>will be non-formulary.</w:t>
      </w:r>
    </w:p>
    <w:p w14:paraId="70F1F8C0" w14:textId="35DBB812" w:rsidR="000E2D0A" w:rsidRDefault="000E2D0A" w:rsidP="000E2D0A">
      <w:pPr>
        <w:pStyle w:val="Heading1"/>
      </w:pPr>
      <w:r w:rsidRPr="000E2D0A">
        <w:t>Surfactants (simethicone)</w:t>
      </w:r>
    </w:p>
    <w:p w14:paraId="421E726D" w14:textId="77777777" w:rsidR="000E2D0A" w:rsidRDefault="000E2D0A" w:rsidP="000E2D0A">
      <w:pPr>
        <w:pStyle w:val="ListParagraph"/>
        <w:numPr>
          <w:ilvl w:val="0"/>
          <w:numId w:val="37"/>
        </w:numPr>
      </w:pPr>
      <w:r w:rsidRPr="000E2D0A">
        <w:t xml:space="preserve">Simethicone 40 mg/0.6 mL and 80 mg chewable tablets will be formulary. </w:t>
      </w:r>
    </w:p>
    <w:p w14:paraId="055DC081" w14:textId="092DEE5F" w:rsidR="000E2D0A" w:rsidRDefault="000E2D0A" w:rsidP="000E2D0A">
      <w:pPr>
        <w:pStyle w:val="ListParagraph"/>
        <w:numPr>
          <w:ilvl w:val="0"/>
          <w:numId w:val="37"/>
        </w:numPr>
      </w:pPr>
      <w:r w:rsidRPr="000E2D0A">
        <w:t>All other formulations will be non-formulary.</w:t>
      </w:r>
    </w:p>
    <w:p w14:paraId="3B6A135E" w14:textId="382B9994" w:rsidR="000E2D0A" w:rsidRDefault="00913765" w:rsidP="00913765">
      <w:pPr>
        <w:pStyle w:val="Heading1"/>
      </w:pPr>
      <w:r w:rsidRPr="00913765">
        <w:t>Thiazide Diuretics (24:08.24.20)</w:t>
      </w:r>
    </w:p>
    <w:p w14:paraId="58FA92F9" w14:textId="77777777" w:rsidR="00C05A74" w:rsidRDefault="00C05A74" w:rsidP="00913765">
      <w:pPr>
        <w:pStyle w:val="ListParagraph"/>
        <w:numPr>
          <w:ilvl w:val="0"/>
          <w:numId w:val="38"/>
        </w:numPr>
      </w:pPr>
      <w:r w:rsidRPr="00C05A74">
        <w:t>Hydrochlorothiazide, chlorothiazide injection, chlorthalidone, and metolazone will be formulary.</w:t>
      </w:r>
    </w:p>
    <w:p w14:paraId="3F6D190C" w14:textId="77777777" w:rsidR="00C05A74" w:rsidRDefault="00C05A74" w:rsidP="00913765">
      <w:pPr>
        <w:pStyle w:val="ListParagraph"/>
        <w:numPr>
          <w:ilvl w:val="0"/>
          <w:numId w:val="38"/>
        </w:numPr>
      </w:pPr>
      <w:r w:rsidRPr="00C05A74">
        <w:t>Chlorothiazide oral solution will be formulary restricted to the PICU and NICU settings.</w:t>
      </w:r>
    </w:p>
    <w:p w14:paraId="1AB03CA4" w14:textId="7D04E25E" w:rsidR="00913765" w:rsidRPr="00913765" w:rsidRDefault="00C05A74" w:rsidP="00913765">
      <w:pPr>
        <w:pStyle w:val="ListParagraph"/>
        <w:numPr>
          <w:ilvl w:val="0"/>
          <w:numId w:val="38"/>
        </w:numPr>
      </w:pPr>
      <w:r w:rsidRPr="00C05A74">
        <w:t>Chlorothiazide tablets and indapamide will be non-formulary.</w:t>
      </w:r>
    </w:p>
    <w:sectPr w:rsidR="00913765" w:rsidRPr="009137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829B" w14:textId="77777777" w:rsidR="00B5763D" w:rsidRDefault="00B5763D" w:rsidP="00BB5E9F">
      <w:r>
        <w:separator/>
      </w:r>
    </w:p>
  </w:endnote>
  <w:endnote w:type="continuationSeparator" w:id="0">
    <w:p w14:paraId="3EC76A9B" w14:textId="77777777" w:rsidR="00B5763D" w:rsidRDefault="00B5763D" w:rsidP="00BB5E9F">
      <w:r>
        <w:continuationSeparator/>
      </w:r>
    </w:p>
  </w:endnote>
  <w:endnote w:type="continuationNotice" w:id="1">
    <w:p w14:paraId="69E079A9" w14:textId="77777777" w:rsidR="00B5763D" w:rsidRDefault="00B5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294" w14:textId="08D670BD" w:rsidR="00EA03B5" w:rsidRDefault="00A404FD" w:rsidP="00EA03B5">
    <w:pPr>
      <w:pStyle w:val="Footer"/>
      <w:jc w:val="center"/>
    </w:pPr>
    <w:r>
      <w:t>April</w:t>
    </w:r>
    <w:r w:rsidR="00EE4FC4">
      <w:t xml:space="preserve"> 2025</w:t>
    </w:r>
    <w:r w:rsidR="00EA03B5">
      <w:t xml:space="preserve"> FMOLHS System P&amp;T Meeting</w:t>
    </w:r>
  </w:p>
  <w:p w14:paraId="2239354E" w14:textId="4F47AFCB" w:rsidR="0014548E" w:rsidRPr="0014548E" w:rsidRDefault="0014548E" w:rsidP="00EA03B5">
    <w:pPr>
      <w:pStyle w:val="Footer"/>
      <w:jc w:val="center"/>
      <w:rPr>
        <w:color w:val="FF0000"/>
        <w:sz w:val="18"/>
        <w:szCs w:val="18"/>
      </w:rPr>
    </w:pPr>
    <w:r w:rsidRPr="0014548E">
      <w:rPr>
        <w:color w:val="FF0000"/>
        <w:sz w:val="18"/>
        <w:szCs w:val="18"/>
      </w:rPr>
      <w:t>Changes indicated in 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4EC4" w14:textId="77777777" w:rsidR="00B5763D" w:rsidRDefault="00B5763D" w:rsidP="00BB5E9F">
      <w:r>
        <w:separator/>
      </w:r>
    </w:p>
  </w:footnote>
  <w:footnote w:type="continuationSeparator" w:id="0">
    <w:p w14:paraId="7B17580B" w14:textId="77777777" w:rsidR="00B5763D" w:rsidRDefault="00B5763D" w:rsidP="00BB5E9F">
      <w:r>
        <w:continuationSeparator/>
      </w:r>
    </w:p>
  </w:footnote>
  <w:footnote w:type="continuationNotice" w:id="1">
    <w:p w14:paraId="2293BC17" w14:textId="77777777" w:rsidR="00B5763D" w:rsidRDefault="00B57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680F" w14:textId="7963FAB1" w:rsidR="00BB5E9F" w:rsidRDefault="00BB5E9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703917B" wp14:editId="6614F087">
          <wp:simplePos x="0" y="0"/>
          <wp:positionH relativeFrom="column">
            <wp:posOffset>-682907</wp:posOffset>
          </wp:positionH>
          <wp:positionV relativeFrom="paragraph">
            <wp:posOffset>-253839</wp:posOffset>
          </wp:positionV>
          <wp:extent cx="2146300" cy="7747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C0F3D" wp14:editId="78C64B90">
              <wp:simplePos x="0" y="0"/>
              <wp:positionH relativeFrom="column">
                <wp:posOffset>-555585</wp:posOffset>
              </wp:positionH>
              <wp:positionV relativeFrom="paragraph">
                <wp:posOffset>-387752</wp:posOffset>
              </wp:positionV>
              <wp:extent cx="3483980" cy="9144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3980" cy="914400"/>
                      </a:xfrm>
                      <a:prstGeom prst="rect">
                        <a:avLst/>
                      </a:prstGeom>
                      <a:solidFill>
                        <a:srgbClr val="0047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58B37C" id="Rectangle 2" o:spid="_x0000_s1026" style="position:absolute;margin-left:-43.75pt;margin-top:-30.55pt;width:274.35pt;height:1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" fillcolor="#00477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05878C" wp14:editId="57BE151E">
          <wp:simplePos x="0" y="0"/>
          <wp:positionH relativeFrom="column">
            <wp:posOffset>-902970</wp:posOffset>
          </wp:positionH>
          <wp:positionV relativeFrom="paragraph">
            <wp:posOffset>-457200</wp:posOffset>
          </wp:positionV>
          <wp:extent cx="7743190" cy="1701165"/>
          <wp:effectExtent l="0" t="0" r="3810" b="635"/>
          <wp:wrapSquare wrapText="bothSides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EF6"/>
    <w:multiLevelType w:val="hybridMultilevel"/>
    <w:tmpl w:val="122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59A"/>
    <w:multiLevelType w:val="hybridMultilevel"/>
    <w:tmpl w:val="1E64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CFB"/>
    <w:multiLevelType w:val="hybridMultilevel"/>
    <w:tmpl w:val="65B2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29E"/>
    <w:multiLevelType w:val="hybridMultilevel"/>
    <w:tmpl w:val="3664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2ED0"/>
    <w:multiLevelType w:val="hybridMultilevel"/>
    <w:tmpl w:val="A8486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91328"/>
    <w:multiLevelType w:val="hybridMultilevel"/>
    <w:tmpl w:val="EBEEC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77A0"/>
    <w:multiLevelType w:val="hybridMultilevel"/>
    <w:tmpl w:val="78B0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001BB"/>
    <w:multiLevelType w:val="hybridMultilevel"/>
    <w:tmpl w:val="40F8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020F"/>
    <w:multiLevelType w:val="hybridMultilevel"/>
    <w:tmpl w:val="9C24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3EBF"/>
    <w:multiLevelType w:val="hybridMultilevel"/>
    <w:tmpl w:val="F020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47EE"/>
    <w:multiLevelType w:val="hybridMultilevel"/>
    <w:tmpl w:val="B5E2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0DF2"/>
    <w:multiLevelType w:val="hybridMultilevel"/>
    <w:tmpl w:val="60AA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6008"/>
    <w:multiLevelType w:val="hybridMultilevel"/>
    <w:tmpl w:val="C9D6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84D"/>
    <w:multiLevelType w:val="hybridMultilevel"/>
    <w:tmpl w:val="CE90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7951"/>
    <w:multiLevelType w:val="hybridMultilevel"/>
    <w:tmpl w:val="C6AC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1E37"/>
    <w:multiLevelType w:val="hybridMultilevel"/>
    <w:tmpl w:val="46E2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01691"/>
    <w:multiLevelType w:val="hybridMultilevel"/>
    <w:tmpl w:val="68E0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75DA"/>
    <w:multiLevelType w:val="hybridMultilevel"/>
    <w:tmpl w:val="2B08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C03E4"/>
    <w:multiLevelType w:val="hybridMultilevel"/>
    <w:tmpl w:val="67BE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79D3"/>
    <w:multiLevelType w:val="hybridMultilevel"/>
    <w:tmpl w:val="18BA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116BF"/>
    <w:multiLevelType w:val="hybridMultilevel"/>
    <w:tmpl w:val="D66C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A2E43"/>
    <w:multiLevelType w:val="hybridMultilevel"/>
    <w:tmpl w:val="17EA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446E8"/>
    <w:multiLevelType w:val="hybridMultilevel"/>
    <w:tmpl w:val="AE74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5CF4"/>
    <w:multiLevelType w:val="hybridMultilevel"/>
    <w:tmpl w:val="B11C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69C4"/>
    <w:multiLevelType w:val="hybridMultilevel"/>
    <w:tmpl w:val="4C7A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10B8"/>
    <w:multiLevelType w:val="hybridMultilevel"/>
    <w:tmpl w:val="1FF4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D2D99"/>
    <w:multiLevelType w:val="hybridMultilevel"/>
    <w:tmpl w:val="D6C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40244"/>
    <w:multiLevelType w:val="hybridMultilevel"/>
    <w:tmpl w:val="3062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85D43"/>
    <w:multiLevelType w:val="hybridMultilevel"/>
    <w:tmpl w:val="BF8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E29C5"/>
    <w:multiLevelType w:val="hybridMultilevel"/>
    <w:tmpl w:val="7494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777D"/>
    <w:multiLevelType w:val="hybridMultilevel"/>
    <w:tmpl w:val="4F8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63173"/>
    <w:multiLevelType w:val="hybridMultilevel"/>
    <w:tmpl w:val="467C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97C86"/>
    <w:multiLevelType w:val="hybridMultilevel"/>
    <w:tmpl w:val="50AC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85912"/>
    <w:multiLevelType w:val="hybridMultilevel"/>
    <w:tmpl w:val="773A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6543C"/>
    <w:multiLevelType w:val="hybridMultilevel"/>
    <w:tmpl w:val="49C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43EFC"/>
    <w:multiLevelType w:val="hybridMultilevel"/>
    <w:tmpl w:val="8EE2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65D21"/>
    <w:multiLevelType w:val="hybridMultilevel"/>
    <w:tmpl w:val="A234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52C0"/>
    <w:multiLevelType w:val="hybridMultilevel"/>
    <w:tmpl w:val="67B2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03675">
    <w:abstractNumId w:val="32"/>
  </w:num>
  <w:num w:numId="2" w16cid:durableId="1679844680">
    <w:abstractNumId w:val="29"/>
  </w:num>
  <w:num w:numId="3" w16cid:durableId="1885671625">
    <w:abstractNumId w:val="34"/>
  </w:num>
  <w:num w:numId="4" w16cid:durableId="465437174">
    <w:abstractNumId w:val="28"/>
  </w:num>
  <w:num w:numId="5" w16cid:durableId="2105299071">
    <w:abstractNumId w:val="26"/>
  </w:num>
  <w:num w:numId="6" w16cid:durableId="1551380649">
    <w:abstractNumId w:val="25"/>
  </w:num>
  <w:num w:numId="7" w16cid:durableId="414403993">
    <w:abstractNumId w:val="3"/>
  </w:num>
  <w:num w:numId="8" w16cid:durableId="294916233">
    <w:abstractNumId w:val="17"/>
  </w:num>
  <w:num w:numId="9" w16cid:durableId="1365902908">
    <w:abstractNumId w:val="22"/>
  </w:num>
  <w:num w:numId="10" w16cid:durableId="415903217">
    <w:abstractNumId w:val="2"/>
  </w:num>
  <w:num w:numId="11" w16cid:durableId="1771856294">
    <w:abstractNumId w:val="14"/>
  </w:num>
  <w:num w:numId="12" w16cid:durableId="775442941">
    <w:abstractNumId w:val="15"/>
  </w:num>
  <w:num w:numId="13" w16cid:durableId="612592405">
    <w:abstractNumId w:val="8"/>
  </w:num>
  <w:num w:numId="14" w16cid:durableId="2090809978">
    <w:abstractNumId w:val="24"/>
  </w:num>
  <w:num w:numId="15" w16cid:durableId="662973033">
    <w:abstractNumId w:val="37"/>
  </w:num>
  <w:num w:numId="16" w16cid:durableId="2085955990">
    <w:abstractNumId w:val="30"/>
  </w:num>
  <w:num w:numId="17" w16cid:durableId="805397765">
    <w:abstractNumId w:val="33"/>
  </w:num>
  <w:num w:numId="18" w16cid:durableId="1883011983">
    <w:abstractNumId w:val="12"/>
  </w:num>
  <w:num w:numId="19" w16cid:durableId="363288915">
    <w:abstractNumId w:val="1"/>
  </w:num>
  <w:num w:numId="20" w16cid:durableId="586579556">
    <w:abstractNumId w:val="19"/>
  </w:num>
  <w:num w:numId="21" w16cid:durableId="1699817909">
    <w:abstractNumId w:val="18"/>
  </w:num>
  <w:num w:numId="22" w16cid:durableId="726225463">
    <w:abstractNumId w:val="6"/>
  </w:num>
  <w:num w:numId="23" w16cid:durableId="1395860242">
    <w:abstractNumId w:val="7"/>
  </w:num>
  <w:num w:numId="24" w16cid:durableId="1505972492">
    <w:abstractNumId w:val="0"/>
  </w:num>
  <w:num w:numId="25" w16cid:durableId="1315138987">
    <w:abstractNumId w:val="5"/>
  </w:num>
  <w:num w:numId="26" w16cid:durableId="1276251295">
    <w:abstractNumId w:val="10"/>
  </w:num>
  <w:num w:numId="27" w16cid:durableId="1118330421">
    <w:abstractNumId w:val="36"/>
  </w:num>
  <w:num w:numId="28" w16cid:durableId="2070296975">
    <w:abstractNumId w:val="13"/>
  </w:num>
  <w:num w:numId="29" w16cid:durableId="419717157">
    <w:abstractNumId w:val="16"/>
  </w:num>
  <w:num w:numId="30" w16cid:durableId="1524631137">
    <w:abstractNumId w:val="23"/>
  </w:num>
  <w:num w:numId="31" w16cid:durableId="1098521524">
    <w:abstractNumId w:val="9"/>
  </w:num>
  <w:num w:numId="32" w16cid:durableId="555242242">
    <w:abstractNumId w:val="11"/>
  </w:num>
  <w:num w:numId="33" w16cid:durableId="424421142">
    <w:abstractNumId w:val="31"/>
  </w:num>
  <w:num w:numId="34" w16cid:durableId="1155293796">
    <w:abstractNumId w:val="20"/>
  </w:num>
  <w:num w:numId="35" w16cid:durableId="838347753">
    <w:abstractNumId w:val="35"/>
  </w:num>
  <w:num w:numId="36" w16cid:durableId="1920367207">
    <w:abstractNumId w:val="27"/>
  </w:num>
  <w:num w:numId="37" w16cid:durableId="1813862484">
    <w:abstractNumId w:val="4"/>
  </w:num>
  <w:num w:numId="38" w16cid:durableId="153099133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9F"/>
    <w:rsid w:val="00003FBF"/>
    <w:rsid w:val="00005DA8"/>
    <w:rsid w:val="00015EE9"/>
    <w:rsid w:val="000247C3"/>
    <w:rsid w:val="000338E0"/>
    <w:rsid w:val="000353CB"/>
    <w:rsid w:val="000358F0"/>
    <w:rsid w:val="0004626A"/>
    <w:rsid w:val="000474AD"/>
    <w:rsid w:val="00071577"/>
    <w:rsid w:val="00074A27"/>
    <w:rsid w:val="00077946"/>
    <w:rsid w:val="00095D6B"/>
    <w:rsid w:val="00096900"/>
    <w:rsid w:val="000A1DE6"/>
    <w:rsid w:val="000A658A"/>
    <w:rsid w:val="000B0656"/>
    <w:rsid w:val="000C44F8"/>
    <w:rsid w:val="000D1CF1"/>
    <w:rsid w:val="000D2E80"/>
    <w:rsid w:val="000E245F"/>
    <w:rsid w:val="000E2D0A"/>
    <w:rsid w:val="000E6C9E"/>
    <w:rsid w:val="000E7FBC"/>
    <w:rsid w:val="000F6325"/>
    <w:rsid w:val="001110F5"/>
    <w:rsid w:val="001122E4"/>
    <w:rsid w:val="00116B78"/>
    <w:rsid w:val="00125670"/>
    <w:rsid w:val="0012746B"/>
    <w:rsid w:val="0014220E"/>
    <w:rsid w:val="0014548E"/>
    <w:rsid w:val="00155DF6"/>
    <w:rsid w:val="00156366"/>
    <w:rsid w:val="0015671A"/>
    <w:rsid w:val="00162A50"/>
    <w:rsid w:val="0017134E"/>
    <w:rsid w:val="00173401"/>
    <w:rsid w:val="00186F41"/>
    <w:rsid w:val="00187823"/>
    <w:rsid w:val="00191CDE"/>
    <w:rsid w:val="00192EAB"/>
    <w:rsid w:val="00194A09"/>
    <w:rsid w:val="001A1B15"/>
    <w:rsid w:val="001B246B"/>
    <w:rsid w:val="001B5C40"/>
    <w:rsid w:val="001B7255"/>
    <w:rsid w:val="001C232D"/>
    <w:rsid w:val="001C3E4F"/>
    <w:rsid w:val="001C4FA6"/>
    <w:rsid w:val="001D5D0C"/>
    <w:rsid w:val="001E36B3"/>
    <w:rsid w:val="001F053D"/>
    <w:rsid w:val="001F48BF"/>
    <w:rsid w:val="001F7BFB"/>
    <w:rsid w:val="002025A3"/>
    <w:rsid w:val="002033DA"/>
    <w:rsid w:val="00204ACA"/>
    <w:rsid w:val="00205CDC"/>
    <w:rsid w:val="00214424"/>
    <w:rsid w:val="00221439"/>
    <w:rsid w:val="00223696"/>
    <w:rsid w:val="00232FCC"/>
    <w:rsid w:val="00242FAB"/>
    <w:rsid w:val="00243B05"/>
    <w:rsid w:val="002507A6"/>
    <w:rsid w:val="002509ED"/>
    <w:rsid w:val="00250A99"/>
    <w:rsid w:val="00251B3F"/>
    <w:rsid w:val="00252B94"/>
    <w:rsid w:val="00275390"/>
    <w:rsid w:val="002804E0"/>
    <w:rsid w:val="0028065C"/>
    <w:rsid w:val="00284B80"/>
    <w:rsid w:val="00284DDC"/>
    <w:rsid w:val="0028697F"/>
    <w:rsid w:val="0029050B"/>
    <w:rsid w:val="002A53DF"/>
    <w:rsid w:val="002A7321"/>
    <w:rsid w:val="002C0A6A"/>
    <w:rsid w:val="002D5F4E"/>
    <w:rsid w:val="002E2A45"/>
    <w:rsid w:val="002E778A"/>
    <w:rsid w:val="002E7CD3"/>
    <w:rsid w:val="002F2055"/>
    <w:rsid w:val="002F458B"/>
    <w:rsid w:val="002F4E9A"/>
    <w:rsid w:val="002F5148"/>
    <w:rsid w:val="002F7912"/>
    <w:rsid w:val="00304D81"/>
    <w:rsid w:val="00310B6C"/>
    <w:rsid w:val="00317ED6"/>
    <w:rsid w:val="00322113"/>
    <w:rsid w:val="0032425C"/>
    <w:rsid w:val="00335B15"/>
    <w:rsid w:val="003368C9"/>
    <w:rsid w:val="00342CE7"/>
    <w:rsid w:val="00347977"/>
    <w:rsid w:val="00361091"/>
    <w:rsid w:val="003629F2"/>
    <w:rsid w:val="00366996"/>
    <w:rsid w:val="00373515"/>
    <w:rsid w:val="003763A7"/>
    <w:rsid w:val="00377C50"/>
    <w:rsid w:val="00381340"/>
    <w:rsid w:val="00390E78"/>
    <w:rsid w:val="00396983"/>
    <w:rsid w:val="003A0A36"/>
    <w:rsid w:val="003A1F77"/>
    <w:rsid w:val="003A4712"/>
    <w:rsid w:val="003A69DE"/>
    <w:rsid w:val="003A7A40"/>
    <w:rsid w:val="003B7F1C"/>
    <w:rsid w:val="003C00B2"/>
    <w:rsid w:val="003C1079"/>
    <w:rsid w:val="003D1FAD"/>
    <w:rsid w:val="003D25A6"/>
    <w:rsid w:val="003D46A7"/>
    <w:rsid w:val="003D6CC2"/>
    <w:rsid w:val="003D7F96"/>
    <w:rsid w:val="004025B3"/>
    <w:rsid w:val="00406687"/>
    <w:rsid w:val="0041783E"/>
    <w:rsid w:val="0042072B"/>
    <w:rsid w:val="004229B6"/>
    <w:rsid w:val="00433F74"/>
    <w:rsid w:val="00437A23"/>
    <w:rsid w:val="004574FC"/>
    <w:rsid w:val="0046783B"/>
    <w:rsid w:val="0048480C"/>
    <w:rsid w:val="004851CC"/>
    <w:rsid w:val="004918B3"/>
    <w:rsid w:val="004964FD"/>
    <w:rsid w:val="00496A78"/>
    <w:rsid w:val="004973F9"/>
    <w:rsid w:val="0049787A"/>
    <w:rsid w:val="00497EB1"/>
    <w:rsid w:val="004A3D96"/>
    <w:rsid w:val="004A3E1F"/>
    <w:rsid w:val="004A6235"/>
    <w:rsid w:val="004A7A92"/>
    <w:rsid w:val="004B14A2"/>
    <w:rsid w:val="004B342B"/>
    <w:rsid w:val="004B61A2"/>
    <w:rsid w:val="004C42F6"/>
    <w:rsid w:val="004D202D"/>
    <w:rsid w:val="004D3B5E"/>
    <w:rsid w:val="004D516D"/>
    <w:rsid w:val="004D6320"/>
    <w:rsid w:val="004E665C"/>
    <w:rsid w:val="004F09B3"/>
    <w:rsid w:val="004F335E"/>
    <w:rsid w:val="00500F8F"/>
    <w:rsid w:val="0050131F"/>
    <w:rsid w:val="005023F6"/>
    <w:rsid w:val="00502778"/>
    <w:rsid w:val="005046E8"/>
    <w:rsid w:val="00505E81"/>
    <w:rsid w:val="00507A9E"/>
    <w:rsid w:val="00515402"/>
    <w:rsid w:val="00520B3A"/>
    <w:rsid w:val="00521668"/>
    <w:rsid w:val="0052508F"/>
    <w:rsid w:val="0053391D"/>
    <w:rsid w:val="005357A9"/>
    <w:rsid w:val="00537C6F"/>
    <w:rsid w:val="00537E3C"/>
    <w:rsid w:val="00542295"/>
    <w:rsid w:val="005459B3"/>
    <w:rsid w:val="00552A5C"/>
    <w:rsid w:val="00555230"/>
    <w:rsid w:val="00572428"/>
    <w:rsid w:val="0057373E"/>
    <w:rsid w:val="005742BA"/>
    <w:rsid w:val="00575151"/>
    <w:rsid w:val="005758F5"/>
    <w:rsid w:val="00576C8B"/>
    <w:rsid w:val="005770A7"/>
    <w:rsid w:val="0057761C"/>
    <w:rsid w:val="005805BE"/>
    <w:rsid w:val="005920F9"/>
    <w:rsid w:val="005A29C3"/>
    <w:rsid w:val="005A3850"/>
    <w:rsid w:val="005A506B"/>
    <w:rsid w:val="005A7393"/>
    <w:rsid w:val="005B0431"/>
    <w:rsid w:val="005B057E"/>
    <w:rsid w:val="005C148C"/>
    <w:rsid w:val="005C44DE"/>
    <w:rsid w:val="005D7814"/>
    <w:rsid w:val="005E61D2"/>
    <w:rsid w:val="005F5BE9"/>
    <w:rsid w:val="00601845"/>
    <w:rsid w:val="006177E3"/>
    <w:rsid w:val="00631E27"/>
    <w:rsid w:val="0063476B"/>
    <w:rsid w:val="006407D3"/>
    <w:rsid w:val="006417F8"/>
    <w:rsid w:val="00645295"/>
    <w:rsid w:val="0064762B"/>
    <w:rsid w:val="00655DEE"/>
    <w:rsid w:val="0065790C"/>
    <w:rsid w:val="00675970"/>
    <w:rsid w:val="00677E95"/>
    <w:rsid w:val="00682ACB"/>
    <w:rsid w:val="00682CF3"/>
    <w:rsid w:val="00692463"/>
    <w:rsid w:val="0069256F"/>
    <w:rsid w:val="00695817"/>
    <w:rsid w:val="006968E0"/>
    <w:rsid w:val="006A2730"/>
    <w:rsid w:val="006A29B7"/>
    <w:rsid w:val="006A57C1"/>
    <w:rsid w:val="006B111D"/>
    <w:rsid w:val="006E254D"/>
    <w:rsid w:val="006E3627"/>
    <w:rsid w:val="006F0444"/>
    <w:rsid w:val="006F30B8"/>
    <w:rsid w:val="007050F7"/>
    <w:rsid w:val="00707FD8"/>
    <w:rsid w:val="00716D67"/>
    <w:rsid w:val="00721A45"/>
    <w:rsid w:val="0072457A"/>
    <w:rsid w:val="00724C8E"/>
    <w:rsid w:val="00726013"/>
    <w:rsid w:val="00750DA8"/>
    <w:rsid w:val="00756C27"/>
    <w:rsid w:val="00757CED"/>
    <w:rsid w:val="00765133"/>
    <w:rsid w:val="00771DAE"/>
    <w:rsid w:val="0077468B"/>
    <w:rsid w:val="0078652A"/>
    <w:rsid w:val="007935E1"/>
    <w:rsid w:val="00794BB9"/>
    <w:rsid w:val="007A246C"/>
    <w:rsid w:val="007A329C"/>
    <w:rsid w:val="007A5A39"/>
    <w:rsid w:val="007C36A7"/>
    <w:rsid w:val="007D2B95"/>
    <w:rsid w:val="007E1113"/>
    <w:rsid w:val="007E6AD4"/>
    <w:rsid w:val="007E780F"/>
    <w:rsid w:val="00800696"/>
    <w:rsid w:val="00802988"/>
    <w:rsid w:val="00807944"/>
    <w:rsid w:val="00815526"/>
    <w:rsid w:val="00840F58"/>
    <w:rsid w:val="008656DE"/>
    <w:rsid w:val="00867FB3"/>
    <w:rsid w:val="008733C0"/>
    <w:rsid w:val="008772A8"/>
    <w:rsid w:val="008900ED"/>
    <w:rsid w:val="00892141"/>
    <w:rsid w:val="008921D9"/>
    <w:rsid w:val="008A2F17"/>
    <w:rsid w:val="008A5989"/>
    <w:rsid w:val="008A59B2"/>
    <w:rsid w:val="008B1CFE"/>
    <w:rsid w:val="008B7E84"/>
    <w:rsid w:val="008B7F9F"/>
    <w:rsid w:val="008C54FD"/>
    <w:rsid w:val="008D102D"/>
    <w:rsid w:val="008E2DB0"/>
    <w:rsid w:val="008F2541"/>
    <w:rsid w:val="009101D0"/>
    <w:rsid w:val="00913765"/>
    <w:rsid w:val="009432E5"/>
    <w:rsid w:val="00946972"/>
    <w:rsid w:val="009479B0"/>
    <w:rsid w:val="00950095"/>
    <w:rsid w:val="009613FB"/>
    <w:rsid w:val="009643D4"/>
    <w:rsid w:val="0097724E"/>
    <w:rsid w:val="00984702"/>
    <w:rsid w:val="0099336F"/>
    <w:rsid w:val="00993ABE"/>
    <w:rsid w:val="009A31E6"/>
    <w:rsid w:val="009A4890"/>
    <w:rsid w:val="009B0332"/>
    <w:rsid w:val="009B2713"/>
    <w:rsid w:val="009B581B"/>
    <w:rsid w:val="009C0AF1"/>
    <w:rsid w:val="009D4739"/>
    <w:rsid w:val="009E1D5A"/>
    <w:rsid w:val="009E2446"/>
    <w:rsid w:val="009E5361"/>
    <w:rsid w:val="009E691A"/>
    <w:rsid w:val="009F074F"/>
    <w:rsid w:val="009F4EF6"/>
    <w:rsid w:val="00A002C0"/>
    <w:rsid w:val="00A055BE"/>
    <w:rsid w:val="00A15B8E"/>
    <w:rsid w:val="00A175C9"/>
    <w:rsid w:val="00A2718E"/>
    <w:rsid w:val="00A404FD"/>
    <w:rsid w:val="00A4254C"/>
    <w:rsid w:val="00A54598"/>
    <w:rsid w:val="00A55265"/>
    <w:rsid w:val="00A65255"/>
    <w:rsid w:val="00A71D0E"/>
    <w:rsid w:val="00A85403"/>
    <w:rsid w:val="00A86396"/>
    <w:rsid w:val="00A93A94"/>
    <w:rsid w:val="00AA7CE4"/>
    <w:rsid w:val="00AC614B"/>
    <w:rsid w:val="00AC7AB6"/>
    <w:rsid w:val="00AD08D6"/>
    <w:rsid w:val="00AF02A7"/>
    <w:rsid w:val="00B028A4"/>
    <w:rsid w:val="00B04BE7"/>
    <w:rsid w:val="00B27CA7"/>
    <w:rsid w:val="00B31816"/>
    <w:rsid w:val="00B33E40"/>
    <w:rsid w:val="00B443DD"/>
    <w:rsid w:val="00B46FF4"/>
    <w:rsid w:val="00B50353"/>
    <w:rsid w:val="00B5763D"/>
    <w:rsid w:val="00B64099"/>
    <w:rsid w:val="00B80F5A"/>
    <w:rsid w:val="00B81918"/>
    <w:rsid w:val="00B93698"/>
    <w:rsid w:val="00B95BA8"/>
    <w:rsid w:val="00BB40D0"/>
    <w:rsid w:val="00BB5E9F"/>
    <w:rsid w:val="00BC1256"/>
    <w:rsid w:val="00BD0344"/>
    <w:rsid w:val="00BD0864"/>
    <w:rsid w:val="00BD2909"/>
    <w:rsid w:val="00BE46A0"/>
    <w:rsid w:val="00BE5ECA"/>
    <w:rsid w:val="00BE5F2A"/>
    <w:rsid w:val="00BE65B3"/>
    <w:rsid w:val="00BF4219"/>
    <w:rsid w:val="00C01703"/>
    <w:rsid w:val="00C05A74"/>
    <w:rsid w:val="00C10A7D"/>
    <w:rsid w:val="00C160CD"/>
    <w:rsid w:val="00C243F5"/>
    <w:rsid w:val="00C24443"/>
    <w:rsid w:val="00C25201"/>
    <w:rsid w:val="00C33997"/>
    <w:rsid w:val="00C34D6B"/>
    <w:rsid w:val="00C36A3D"/>
    <w:rsid w:val="00C4207E"/>
    <w:rsid w:val="00C43BFB"/>
    <w:rsid w:val="00C45D09"/>
    <w:rsid w:val="00C50803"/>
    <w:rsid w:val="00C51215"/>
    <w:rsid w:val="00C65B36"/>
    <w:rsid w:val="00C73441"/>
    <w:rsid w:val="00C76A24"/>
    <w:rsid w:val="00C80192"/>
    <w:rsid w:val="00C80F28"/>
    <w:rsid w:val="00C82C79"/>
    <w:rsid w:val="00C8627A"/>
    <w:rsid w:val="00C90282"/>
    <w:rsid w:val="00CA7337"/>
    <w:rsid w:val="00CB3C77"/>
    <w:rsid w:val="00CC3EDC"/>
    <w:rsid w:val="00CC7529"/>
    <w:rsid w:val="00CD461A"/>
    <w:rsid w:val="00CD7C3E"/>
    <w:rsid w:val="00CE2973"/>
    <w:rsid w:val="00CE38C8"/>
    <w:rsid w:val="00CF0A61"/>
    <w:rsid w:val="00CF237C"/>
    <w:rsid w:val="00CF4643"/>
    <w:rsid w:val="00D01E3A"/>
    <w:rsid w:val="00D064A6"/>
    <w:rsid w:val="00D10A9F"/>
    <w:rsid w:val="00D10AAF"/>
    <w:rsid w:val="00D16680"/>
    <w:rsid w:val="00D22875"/>
    <w:rsid w:val="00D273B7"/>
    <w:rsid w:val="00D30346"/>
    <w:rsid w:val="00D350D1"/>
    <w:rsid w:val="00D41889"/>
    <w:rsid w:val="00D43F6B"/>
    <w:rsid w:val="00D44B85"/>
    <w:rsid w:val="00D45E09"/>
    <w:rsid w:val="00D4647E"/>
    <w:rsid w:val="00D5343A"/>
    <w:rsid w:val="00D53661"/>
    <w:rsid w:val="00D54C0B"/>
    <w:rsid w:val="00D6089C"/>
    <w:rsid w:val="00D64812"/>
    <w:rsid w:val="00D70D44"/>
    <w:rsid w:val="00D75BC7"/>
    <w:rsid w:val="00D86CCD"/>
    <w:rsid w:val="00D8713E"/>
    <w:rsid w:val="00DA4F36"/>
    <w:rsid w:val="00DA7019"/>
    <w:rsid w:val="00DB6DF9"/>
    <w:rsid w:val="00DC0D9B"/>
    <w:rsid w:val="00DC46B9"/>
    <w:rsid w:val="00DC6847"/>
    <w:rsid w:val="00DC7281"/>
    <w:rsid w:val="00DD6B7C"/>
    <w:rsid w:val="00DE0385"/>
    <w:rsid w:val="00DE0552"/>
    <w:rsid w:val="00DF2DC5"/>
    <w:rsid w:val="00E00E4E"/>
    <w:rsid w:val="00E040EC"/>
    <w:rsid w:val="00E0643A"/>
    <w:rsid w:val="00E11B8B"/>
    <w:rsid w:val="00E34234"/>
    <w:rsid w:val="00E374A5"/>
    <w:rsid w:val="00E40CC8"/>
    <w:rsid w:val="00E7588E"/>
    <w:rsid w:val="00E814A6"/>
    <w:rsid w:val="00E81A3C"/>
    <w:rsid w:val="00E84D8E"/>
    <w:rsid w:val="00E86FFD"/>
    <w:rsid w:val="00EA03B5"/>
    <w:rsid w:val="00EA46C5"/>
    <w:rsid w:val="00EA4F33"/>
    <w:rsid w:val="00EA52D6"/>
    <w:rsid w:val="00EC0606"/>
    <w:rsid w:val="00EC163B"/>
    <w:rsid w:val="00EC71F6"/>
    <w:rsid w:val="00EE400E"/>
    <w:rsid w:val="00EE4FC4"/>
    <w:rsid w:val="00EE58D3"/>
    <w:rsid w:val="00EF4165"/>
    <w:rsid w:val="00EF61D7"/>
    <w:rsid w:val="00EF63CC"/>
    <w:rsid w:val="00F0164A"/>
    <w:rsid w:val="00F0279A"/>
    <w:rsid w:val="00F066B8"/>
    <w:rsid w:val="00F14067"/>
    <w:rsid w:val="00F30ABF"/>
    <w:rsid w:val="00F36B03"/>
    <w:rsid w:val="00F36D00"/>
    <w:rsid w:val="00F41DBB"/>
    <w:rsid w:val="00F42759"/>
    <w:rsid w:val="00F42941"/>
    <w:rsid w:val="00F47D14"/>
    <w:rsid w:val="00F55031"/>
    <w:rsid w:val="00F60C1E"/>
    <w:rsid w:val="00F60F3D"/>
    <w:rsid w:val="00F6147D"/>
    <w:rsid w:val="00F621EA"/>
    <w:rsid w:val="00F63817"/>
    <w:rsid w:val="00F6609A"/>
    <w:rsid w:val="00F67BFB"/>
    <w:rsid w:val="00F7087A"/>
    <w:rsid w:val="00F81CD5"/>
    <w:rsid w:val="00F8266E"/>
    <w:rsid w:val="00F86471"/>
    <w:rsid w:val="00F91A5F"/>
    <w:rsid w:val="00F93ECE"/>
    <w:rsid w:val="00F9521C"/>
    <w:rsid w:val="00FA2D04"/>
    <w:rsid w:val="00FA4EA6"/>
    <w:rsid w:val="00FA6476"/>
    <w:rsid w:val="00FA6FFE"/>
    <w:rsid w:val="00FB0C40"/>
    <w:rsid w:val="00FC4838"/>
    <w:rsid w:val="00FD43C1"/>
    <w:rsid w:val="00FF63C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39849"/>
  <w15:chartTrackingRefBased/>
  <w15:docId w15:val="{10DF646D-7A13-5247-92CF-147547D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9F"/>
  </w:style>
  <w:style w:type="paragraph" w:styleId="Footer">
    <w:name w:val="footer"/>
    <w:basedOn w:val="Normal"/>
    <w:link w:val="Foot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9F"/>
  </w:style>
  <w:style w:type="paragraph" w:styleId="ListParagraph">
    <w:name w:val="List Paragraph"/>
    <w:basedOn w:val="Normal"/>
    <w:uiPriority w:val="34"/>
    <w:qFormat/>
    <w:rsid w:val="00F952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F9521C"/>
  </w:style>
  <w:style w:type="paragraph" w:styleId="BalloonText">
    <w:name w:val="Balloon Text"/>
    <w:basedOn w:val="Normal"/>
    <w:link w:val="BalloonTextChar"/>
    <w:uiPriority w:val="99"/>
    <w:semiHidden/>
    <w:unhideWhenUsed/>
    <w:rsid w:val="0097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1D0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22263-f2ca-407e-8aaf-bf1610772127">
      <Terms xmlns="http://schemas.microsoft.com/office/infopath/2007/PartnerControls"/>
    </lcf76f155ced4ddcb4097134ff3c332f>
    <TaxCatchAll xmlns="38381027-65e8-4860-b6c5-bf7a5643da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D6DEBDF43974591C6DD25B9D74460" ma:contentTypeVersion="17" ma:contentTypeDescription="Create a new document." ma:contentTypeScope="" ma:versionID="f0289c953cae5efc2ffbde2a8ec5fd29">
  <xsd:schema xmlns:xsd="http://www.w3.org/2001/XMLSchema" xmlns:xs="http://www.w3.org/2001/XMLSchema" xmlns:p="http://schemas.microsoft.com/office/2006/metadata/properties" xmlns:ns2="c0c22263-f2ca-407e-8aaf-bf1610772127" xmlns:ns3="38381027-65e8-4860-b6c5-bf7a5643da94" targetNamespace="http://schemas.microsoft.com/office/2006/metadata/properties" ma:root="true" ma:fieldsID="84276aaa013b521313e94ecce8043521" ns2:_="" ns3:_="">
    <xsd:import namespace="c0c22263-f2ca-407e-8aaf-bf1610772127"/>
    <xsd:import namespace="38381027-65e8-4860-b6c5-bf7a5643d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2263-f2ca-407e-8aaf-bf1610772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1ed79f-4c70-47ac-a5b3-9e3a308b1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1027-65e8-4860-b6c5-bf7a5643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106e67-0c73-4745-ad28-3bc4816285d8}" ma:internalName="TaxCatchAll" ma:showField="CatchAllData" ma:web="38381027-65e8-4860-b6c5-bf7a5643d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27D39-26C8-4A59-944D-4D023089A6F0}">
  <ds:schemaRefs>
    <ds:schemaRef ds:uri="http://schemas.microsoft.com/office/2006/metadata/properties"/>
    <ds:schemaRef ds:uri="http://schemas.microsoft.com/office/infopath/2007/PartnerControls"/>
    <ds:schemaRef ds:uri="c0c22263-f2ca-407e-8aaf-bf1610772127"/>
    <ds:schemaRef ds:uri="38381027-65e8-4860-b6c5-bf7a5643da94"/>
  </ds:schemaRefs>
</ds:datastoreItem>
</file>

<file path=customXml/itemProps2.xml><?xml version="1.0" encoding="utf-8"?>
<ds:datastoreItem xmlns:ds="http://schemas.openxmlformats.org/officeDocument/2006/customXml" ds:itemID="{ED941AF4-55C1-459F-8591-1E0D6C28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2263-f2ca-407e-8aaf-bf1610772127"/>
    <ds:schemaRef ds:uri="38381027-65e8-4860-b6c5-bf7a5643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9188A-B7D0-4B52-A9CC-922970E5B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Verret, Lexi M</dc:creator>
  <cp:keywords/>
  <dc:description/>
  <cp:lastModifiedBy>Arnold, Samantha B</cp:lastModifiedBy>
  <cp:revision>3</cp:revision>
  <dcterms:created xsi:type="dcterms:W3CDTF">2025-06-26T19:00:00Z</dcterms:created>
  <dcterms:modified xsi:type="dcterms:W3CDTF">2025-06-26T19:03:00Z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0x0101006EFD6DEBDF43974591C6DD25B9D74460</vt:lpwstr>
  </property>
  <property fmtid="{D5CDD505-2E9C-101B-9397-08002B2CF9AE}" pid="3" name="MediaServiceImageTags">
    <vt:lpwstr/>
  </property>
</Properties>
</file>