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E3092" w14:textId="1FEFFB9B" w:rsidR="00BB5E9F" w:rsidRPr="00E056EB" w:rsidRDefault="00F9521C" w:rsidP="00BB5E9F">
      <w:pPr>
        <w:ind w:left="-540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FMOLHS System P&amp;T Committee</w:t>
      </w:r>
    </w:p>
    <w:p w14:paraId="0C73B700" w14:textId="37CFEA68" w:rsidR="00194A09" w:rsidRPr="00502778" w:rsidRDefault="00BB5E9F" w:rsidP="00502778">
      <w:pPr>
        <w:ind w:left="-540"/>
        <w:rPr>
          <w:rFonts w:ascii="Arial" w:hAnsi="Arial"/>
          <w:b/>
          <w:sz w:val="30"/>
          <w:szCs w:val="30"/>
        </w:rPr>
      </w:pPr>
      <w:r w:rsidRPr="0086226B">
        <w:rPr>
          <w:rFonts w:ascii="Arial" w:hAnsi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1CEAAE" wp14:editId="537E8BFB">
                <wp:simplePos x="0" y="0"/>
                <wp:positionH relativeFrom="column">
                  <wp:posOffset>-358815</wp:posOffset>
                </wp:positionH>
                <wp:positionV relativeFrom="paragraph">
                  <wp:posOffset>371162</wp:posOffset>
                </wp:positionV>
                <wp:extent cx="6858000" cy="0"/>
                <wp:effectExtent l="0" t="25400" r="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38100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C1202" id="Straight Connector 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25pt,29.25pt" to="511.7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" strokecolor="black [3200]" strokeweight="3pt">
                <v:stroke joinstyle="miter"/>
              </v:line>
            </w:pict>
          </mc:Fallback>
        </mc:AlternateContent>
      </w:r>
      <w:r w:rsidR="008900ED">
        <w:rPr>
          <w:rFonts w:ascii="Arial" w:hAnsi="Arial"/>
          <w:b/>
          <w:sz w:val="30"/>
          <w:szCs w:val="30"/>
        </w:rPr>
        <w:t xml:space="preserve">Consent Agenda </w:t>
      </w:r>
      <w:r w:rsidR="00F9521C">
        <w:rPr>
          <w:rFonts w:ascii="Arial" w:hAnsi="Arial"/>
          <w:b/>
          <w:sz w:val="30"/>
          <w:szCs w:val="30"/>
        </w:rPr>
        <w:t>Class Review Recommendations</w:t>
      </w:r>
      <w:r w:rsidR="0065790C">
        <w:rPr>
          <w:rFonts w:ascii="Arial" w:hAnsi="Arial"/>
          <w:b/>
          <w:sz w:val="30"/>
          <w:szCs w:val="30"/>
        </w:rPr>
        <w:t xml:space="preserve"> Summary</w:t>
      </w:r>
      <w:r>
        <w:rPr>
          <w:rFonts w:ascii="Arial" w:hAnsi="Arial"/>
          <w:b/>
          <w:sz w:val="30"/>
          <w:szCs w:val="30"/>
        </w:rPr>
        <w:br/>
      </w:r>
    </w:p>
    <w:p w14:paraId="063C1997" w14:textId="1EE680BF" w:rsidR="005B057E" w:rsidRDefault="005B057E" w:rsidP="005B057E">
      <w:pPr>
        <w:pStyle w:val="Heading1"/>
      </w:pPr>
      <w:r w:rsidRPr="005B057E">
        <w:t>Beta Blockers (24:24)</w:t>
      </w:r>
    </w:p>
    <w:p w14:paraId="6010B4DA" w14:textId="6A818472" w:rsidR="006A4F7D" w:rsidRDefault="006A4F7D" w:rsidP="005046E8">
      <w:pPr>
        <w:pStyle w:val="ListParagraph"/>
        <w:numPr>
          <w:ilvl w:val="0"/>
          <w:numId w:val="16"/>
        </w:numPr>
      </w:pPr>
      <w:r w:rsidRPr="006A4F7D">
        <w:t xml:space="preserve">Carvedilol </w:t>
      </w:r>
      <w:r>
        <w:t>immediate release</w:t>
      </w:r>
      <w:r w:rsidRPr="006A4F7D">
        <w:t xml:space="preserve">, labetalol, propranolol </w:t>
      </w:r>
      <w:r>
        <w:t>immediate release</w:t>
      </w:r>
      <w:r w:rsidRPr="006A4F7D">
        <w:t>, sotalol</w:t>
      </w:r>
      <w:r w:rsidR="00FA67A4">
        <w:t>, a</w:t>
      </w:r>
      <w:r w:rsidR="00FA67A4" w:rsidRPr="006A4F7D">
        <w:t xml:space="preserve">tenolol, metoprolol tartrate, metoprolol succinate, </w:t>
      </w:r>
      <w:r w:rsidR="00FA67A4">
        <w:t>and</w:t>
      </w:r>
      <w:r w:rsidR="00FA67A4" w:rsidRPr="006A4F7D">
        <w:t xml:space="preserve"> esmolol</w:t>
      </w:r>
      <w:r w:rsidRPr="006A4F7D">
        <w:t xml:space="preserve"> will be formulary.</w:t>
      </w:r>
    </w:p>
    <w:p w14:paraId="18C235CD" w14:textId="77777777" w:rsidR="00FA67A4" w:rsidRDefault="006A4F7D" w:rsidP="005046E8">
      <w:pPr>
        <w:pStyle w:val="ListParagraph"/>
        <w:numPr>
          <w:ilvl w:val="0"/>
          <w:numId w:val="16"/>
        </w:numPr>
      </w:pPr>
      <w:r w:rsidRPr="006A4F7D">
        <w:t>Carvedilol CR, nadolol, propranolol LA, propranolol ER, timolol</w:t>
      </w:r>
      <w:r w:rsidR="00FA67A4">
        <w:t xml:space="preserve">, </w:t>
      </w:r>
      <w:r w:rsidR="00FA67A4" w:rsidRPr="006A4F7D">
        <w:t xml:space="preserve">Acebutolol, </w:t>
      </w:r>
      <w:proofErr w:type="spellStart"/>
      <w:r w:rsidR="00FA67A4" w:rsidRPr="006A4F7D">
        <w:t>betataxolol</w:t>
      </w:r>
      <w:proofErr w:type="spellEnd"/>
      <w:r w:rsidR="00FA67A4" w:rsidRPr="006A4F7D">
        <w:t xml:space="preserve">, </w:t>
      </w:r>
      <w:r w:rsidR="00FA67A4">
        <w:t>and</w:t>
      </w:r>
      <w:r w:rsidR="00FA67A4" w:rsidRPr="006A4F7D">
        <w:t xml:space="preserve"> nebivolol</w:t>
      </w:r>
      <w:r w:rsidRPr="006A4F7D">
        <w:t xml:space="preserve"> will be non-formulary</w:t>
      </w:r>
      <w:r>
        <w:t>.</w:t>
      </w:r>
    </w:p>
    <w:p w14:paraId="3E7BAF30" w14:textId="37B710D1" w:rsidR="00FA67A4" w:rsidRPr="005046E8" w:rsidRDefault="006A4F7D" w:rsidP="00E417B4">
      <w:pPr>
        <w:pStyle w:val="ListParagraph"/>
        <w:numPr>
          <w:ilvl w:val="0"/>
          <w:numId w:val="16"/>
        </w:numPr>
      </w:pPr>
      <w:r w:rsidRPr="006A4F7D">
        <w:t xml:space="preserve">Metoprolol </w:t>
      </w:r>
      <w:r w:rsidR="00FA67A4">
        <w:t>t</w:t>
      </w:r>
      <w:r w:rsidRPr="006A4F7D">
        <w:t>artrate</w:t>
      </w:r>
      <w:r w:rsidR="00FA67A4">
        <w:t>/hydrochlorothiazide</w:t>
      </w:r>
      <w:r w:rsidRPr="006A4F7D">
        <w:t xml:space="preserve">, </w:t>
      </w:r>
      <w:r w:rsidR="00FA67A4">
        <w:t>m</w:t>
      </w:r>
      <w:r w:rsidRPr="006A4F7D">
        <w:t xml:space="preserve">etoprolol </w:t>
      </w:r>
      <w:r w:rsidR="00FA67A4">
        <w:t>s</w:t>
      </w:r>
      <w:r w:rsidRPr="006A4F7D">
        <w:t>uccinate/</w:t>
      </w:r>
      <w:r w:rsidR="00FA67A4">
        <w:t>hydrochlorothiazide</w:t>
      </w:r>
      <w:r w:rsidRPr="006A4F7D">
        <w:t xml:space="preserve">, </w:t>
      </w:r>
      <w:r w:rsidR="00FA67A4">
        <w:t>b</w:t>
      </w:r>
      <w:r w:rsidRPr="006A4F7D">
        <w:t>isoprolol/</w:t>
      </w:r>
      <w:r w:rsidR="00FA67A4">
        <w:t>hydrochlorothiazide</w:t>
      </w:r>
      <w:r w:rsidRPr="006A4F7D">
        <w:t xml:space="preserve">, </w:t>
      </w:r>
      <w:r w:rsidR="00FA67A4">
        <w:t>a</w:t>
      </w:r>
      <w:r w:rsidRPr="006A4F7D">
        <w:t>tenolol/</w:t>
      </w:r>
      <w:r w:rsidR="00FA67A4">
        <w:t>hydrochlorothiazide</w:t>
      </w:r>
      <w:r w:rsidRPr="006A4F7D">
        <w:t xml:space="preserve">, </w:t>
      </w:r>
      <w:r w:rsidR="00FA67A4">
        <w:t>and</w:t>
      </w:r>
      <w:r w:rsidRPr="006A4F7D">
        <w:t xml:space="preserve"> </w:t>
      </w:r>
      <w:r w:rsidR="00FA67A4">
        <w:t>p</w:t>
      </w:r>
      <w:r w:rsidRPr="006A4F7D">
        <w:t>ropranolol/</w:t>
      </w:r>
      <w:r w:rsidR="00FA67A4">
        <w:t>hydrochlorothiazide</w:t>
      </w:r>
      <w:r w:rsidR="00FA67A4" w:rsidRPr="006A4F7D">
        <w:t xml:space="preserve"> </w:t>
      </w:r>
      <w:r w:rsidRPr="006A4F7D">
        <w:t>will be non-formulary</w:t>
      </w:r>
      <w:r w:rsidR="00FA67A4">
        <w:t>.</w:t>
      </w:r>
    </w:p>
    <w:p w14:paraId="1754D1CB" w14:textId="77777777" w:rsidR="005B057E" w:rsidRDefault="005B057E" w:rsidP="005B057E">
      <w:pPr>
        <w:pStyle w:val="Heading1"/>
      </w:pPr>
      <w:r w:rsidRPr="005B057E">
        <w:t>Hemostatic: Factor IX (20:28.16</w:t>
      </w:r>
      <w:r>
        <w:t>)</w:t>
      </w:r>
    </w:p>
    <w:p w14:paraId="2E7E425D" w14:textId="5675D622" w:rsidR="00200B72" w:rsidRPr="00380705" w:rsidRDefault="00200B72" w:rsidP="00200B72">
      <w:pPr>
        <w:pStyle w:val="ListParagraph"/>
        <w:numPr>
          <w:ilvl w:val="0"/>
          <w:numId w:val="17"/>
        </w:numPr>
      </w:pPr>
      <w:proofErr w:type="spellStart"/>
      <w:r w:rsidRPr="00380705">
        <w:t>Benefix</w:t>
      </w:r>
      <w:proofErr w:type="spellEnd"/>
      <w:r w:rsidRPr="00380705">
        <w:t xml:space="preserve"> will be formulary</w:t>
      </w:r>
      <w:r w:rsidR="00380705">
        <w:t>.</w:t>
      </w:r>
    </w:p>
    <w:p w14:paraId="64F089CD" w14:textId="0B9C685C" w:rsidR="00200B72" w:rsidRPr="00380705" w:rsidRDefault="00200B72" w:rsidP="00200B72">
      <w:pPr>
        <w:pStyle w:val="ListParagraph"/>
        <w:numPr>
          <w:ilvl w:val="0"/>
          <w:numId w:val="17"/>
        </w:numPr>
      </w:pPr>
      <w:proofErr w:type="spellStart"/>
      <w:r w:rsidRPr="00380705">
        <w:t>Ixinity</w:t>
      </w:r>
      <w:proofErr w:type="spellEnd"/>
      <w:r w:rsidRPr="00380705">
        <w:t xml:space="preserve"> will be non-formulary. </w:t>
      </w:r>
    </w:p>
    <w:p w14:paraId="49A8D24F" w14:textId="77777777" w:rsidR="005B057E" w:rsidRDefault="005B057E" w:rsidP="005B057E">
      <w:pPr>
        <w:pStyle w:val="Heading1"/>
      </w:pPr>
      <w:r w:rsidRPr="005B057E">
        <w:t>Hemostatic: Factor VII (20:28.16)</w:t>
      </w:r>
    </w:p>
    <w:p w14:paraId="6EC645FF" w14:textId="77777777" w:rsidR="00660553" w:rsidRDefault="00660553" w:rsidP="00660553">
      <w:pPr>
        <w:pStyle w:val="ListParagraph"/>
        <w:numPr>
          <w:ilvl w:val="0"/>
          <w:numId w:val="18"/>
        </w:numPr>
      </w:pPr>
      <w:proofErr w:type="spellStart"/>
      <w:r w:rsidRPr="00660553">
        <w:t>NovoSevenRT</w:t>
      </w:r>
      <w:proofErr w:type="spellEnd"/>
      <w:r w:rsidRPr="00660553">
        <w:t xml:space="preserve"> (coagulation factor </w:t>
      </w:r>
      <w:proofErr w:type="spellStart"/>
      <w:r w:rsidRPr="00660553">
        <w:t>VIIa</w:t>
      </w:r>
      <w:proofErr w:type="spellEnd"/>
      <w:r w:rsidRPr="00660553">
        <w:t xml:space="preserve">, recombinant) will be formulary. </w:t>
      </w:r>
    </w:p>
    <w:p w14:paraId="76B5D00D" w14:textId="28CD8078" w:rsidR="00660553" w:rsidRPr="00660553" w:rsidRDefault="00660553" w:rsidP="00660553">
      <w:pPr>
        <w:pStyle w:val="ListParagraph"/>
        <w:numPr>
          <w:ilvl w:val="0"/>
          <w:numId w:val="18"/>
        </w:numPr>
      </w:pPr>
      <w:proofErr w:type="spellStart"/>
      <w:r w:rsidRPr="00660553">
        <w:t>Sevenfact</w:t>
      </w:r>
      <w:proofErr w:type="spellEnd"/>
      <w:r w:rsidRPr="00660553">
        <w:t xml:space="preserve"> (coagulation factor </w:t>
      </w:r>
      <w:proofErr w:type="spellStart"/>
      <w:r w:rsidRPr="00660553">
        <w:t>VIIa</w:t>
      </w:r>
      <w:proofErr w:type="spellEnd"/>
      <w:r w:rsidRPr="00660553">
        <w:t>, recombinant-</w:t>
      </w:r>
      <w:proofErr w:type="spellStart"/>
      <w:r w:rsidRPr="00660553">
        <w:t>incw</w:t>
      </w:r>
      <w:proofErr w:type="spellEnd"/>
      <w:r w:rsidRPr="00660553">
        <w:t>) will be non-formulary.</w:t>
      </w:r>
    </w:p>
    <w:p w14:paraId="4A509DAD" w14:textId="77777777" w:rsidR="005B057E" w:rsidRDefault="005B057E" w:rsidP="005B057E">
      <w:pPr>
        <w:pStyle w:val="Heading1"/>
      </w:pPr>
      <w:r w:rsidRPr="005B057E">
        <w:t>Hemostatic: Factor VIII (20:28.16)</w:t>
      </w:r>
    </w:p>
    <w:p w14:paraId="5460FB62" w14:textId="77777777" w:rsidR="006C55AD" w:rsidRDefault="006C55AD" w:rsidP="00660553">
      <w:pPr>
        <w:pStyle w:val="ListParagraph"/>
        <w:numPr>
          <w:ilvl w:val="0"/>
          <w:numId w:val="19"/>
        </w:numPr>
      </w:pPr>
      <w:r w:rsidRPr="006C55AD">
        <w:t xml:space="preserve">Humate (antihemophilic Factor/von Willebrand Factor Complex) will be formulary. </w:t>
      </w:r>
    </w:p>
    <w:p w14:paraId="2A58882C" w14:textId="77777777" w:rsidR="006C55AD" w:rsidRDefault="006C55AD" w:rsidP="00660553">
      <w:pPr>
        <w:pStyle w:val="ListParagraph"/>
        <w:numPr>
          <w:ilvl w:val="0"/>
          <w:numId w:val="19"/>
        </w:numPr>
      </w:pPr>
      <w:proofErr w:type="spellStart"/>
      <w:r w:rsidRPr="006C55AD">
        <w:t>Advate</w:t>
      </w:r>
      <w:proofErr w:type="spellEnd"/>
      <w:r w:rsidRPr="006C55AD">
        <w:t xml:space="preserve"> (antihemophilic Factor Recombinant) will be formulary-restricted to the pediatric population. </w:t>
      </w:r>
    </w:p>
    <w:p w14:paraId="13B8A3E9" w14:textId="77777777" w:rsidR="006C55AD" w:rsidRDefault="006C55AD" w:rsidP="00660553">
      <w:pPr>
        <w:pStyle w:val="ListParagraph"/>
        <w:numPr>
          <w:ilvl w:val="0"/>
          <w:numId w:val="19"/>
        </w:numPr>
      </w:pPr>
      <w:proofErr w:type="spellStart"/>
      <w:r w:rsidRPr="006C55AD">
        <w:t>Kogenate</w:t>
      </w:r>
      <w:proofErr w:type="spellEnd"/>
      <w:r w:rsidRPr="006C55AD">
        <w:t xml:space="preserve"> FS (antihemophilic Factor Recombinant), </w:t>
      </w:r>
      <w:proofErr w:type="spellStart"/>
      <w:r w:rsidRPr="006C55AD">
        <w:t>Helixate</w:t>
      </w:r>
      <w:proofErr w:type="spellEnd"/>
      <w:r w:rsidRPr="006C55AD">
        <w:t xml:space="preserve"> FS (antihemophilic Factor Recombinant), </w:t>
      </w:r>
      <w:proofErr w:type="spellStart"/>
      <w:r w:rsidRPr="006C55AD">
        <w:t>Kovaltry</w:t>
      </w:r>
      <w:proofErr w:type="spellEnd"/>
      <w:r w:rsidRPr="006C55AD">
        <w:t xml:space="preserve"> (Antihemophilic Factor Recombinant), </w:t>
      </w:r>
      <w:proofErr w:type="spellStart"/>
      <w:r w:rsidRPr="006C55AD">
        <w:t>Nuwiq</w:t>
      </w:r>
      <w:proofErr w:type="spellEnd"/>
      <w:r w:rsidRPr="006C55AD">
        <w:t xml:space="preserve"> (antihemophilic Factor Recombinant), </w:t>
      </w:r>
      <w:proofErr w:type="spellStart"/>
      <w:r w:rsidRPr="006C55AD">
        <w:t>NovoEight</w:t>
      </w:r>
      <w:proofErr w:type="spellEnd"/>
      <w:r w:rsidRPr="006C55AD">
        <w:t xml:space="preserve"> (antihemophilic Factor Recombinant), </w:t>
      </w:r>
      <w:proofErr w:type="spellStart"/>
      <w:r w:rsidRPr="006C55AD">
        <w:t>Recombinate</w:t>
      </w:r>
      <w:proofErr w:type="spellEnd"/>
      <w:r w:rsidRPr="006C55AD">
        <w:t xml:space="preserve"> (antihemophilic Factor Recombinant), </w:t>
      </w:r>
      <w:proofErr w:type="spellStart"/>
      <w:r w:rsidRPr="006C55AD">
        <w:t>Xyntha</w:t>
      </w:r>
      <w:proofErr w:type="spellEnd"/>
      <w:r w:rsidRPr="006C55AD">
        <w:t xml:space="preserve"> (antihemophilic Factor Recombinant), </w:t>
      </w:r>
      <w:r>
        <w:t>and</w:t>
      </w:r>
      <w:r w:rsidRPr="006C55AD">
        <w:t xml:space="preserve"> </w:t>
      </w:r>
      <w:proofErr w:type="spellStart"/>
      <w:r w:rsidRPr="006C55AD">
        <w:t>Obizur</w:t>
      </w:r>
      <w:proofErr w:type="spellEnd"/>
      <w:r w:rsidRPr="006C55AD">
        <w:t xml:space="preserve"> (Antihemophilic Factor Recombinant, porcine derived) will be non-formulary. </w:t>
      </w:r>
    </w:p>
    <w:p w14:paraId="77FB2297" w14:textId="77777777" w:rsidR="006C55AD" w:rsidRDefault="006C55AD" w:rsidP="00660553">
      <w:pPr>
        <w:pStyle w:val="ListParagraph"/>
        <w:numPr>
          <w:ilvl w:val="0"/>
          <w:numId w:val="19"/>
        </w:numPr>
      </w:pPr>
      <w:proofErr w:type="spellStart"/>
      <w:r w:rsidRPr="006C55AD">
        <w:t>Koate</w:t>
      </w:r>
      <w:proofErr w:type="spellEnd"/>
      <w:r w:rsidRPr="006C55AD">
        <w:t xml:space="preserve"> (Antihemophilic Factor (</w:t>
      </w:r>
      <w:proofErr w:type="gramStart"/>
      <w:r w:rsidRPr="006C55AD">
        <w:t>Human))</w:t>
      </w:r>
      <w:proofErr w:type="gramEnd"/>
      <w:r w:rsidRPr="006C55AD">
        <w:t xml:space="preserve">, </w:t>
      </w:r>
      <w:proofErr w:type="spellStart"/>
      <w:r w:rsidRPr="006C55AD">
        <w:t>Hemotil</w:t>
      </w:r>
      <w:proofErr w:type="spellEnd"/>
      <w:r w:rsidRPr="006C55AD">
        <w:t xml:space="preserve"> (antihemophilic Factor (</w:t>
      </w:r>
      <w:proofErr w:type="gramStart"/>
      <w:r w:rsidRPr="006C55AD">
        <w:t>Recombinant))</w:t>
      </w:r>
      <w:proofErr w:type="gramEnd"/>
      <w:r w:rsidRPr="006C55AD">
        <w:t>, Jivi (PEGylated-</w:t>
      </w:r>
      <w:proofErr w:type="spellStart"/>
      <w:r w:rsidRPr="006C55AD">
        <w:t>aucl</w:t>
      </w:r>
      <w:proofErr w:type="spellEnd"/>
      <w:r w:rsidRPr="006C55AD">
        <w:t>, antihemophilic Factor (</w:t>
      </w:r>
      <w:proofErr w:type="gramStart"/>
      <w:r w:rsidRPr="006C55AD">
        <w:t>Recombinant))</w:t>
      </w:r>
      <w:proofErr w:type="gramEnd"/>
      <w:r w:rsidRPr="006C55AD">
        <w:t xml:space="preserve">, </w:t>
      </w:r>
      <w:proofErr w:type="spellStart"/>
      <w:r w:rsidRPr="006C55AD">
        <w:t>Adynovate</w:t>
      </w:r>
      <w:proofErr w:type="spellEnd"/>
      <w:r w:rsidRPr="006C55AD">
        <w:t xml:space="preserve"> (</w:t>
      </w:r>
      <w:proofErr w:type="gramStart"/>
      <w:r w:rsidRPr="006C55AD">
        <w:t xml:space="preserve">PEGylated, antihemophilic Factor (Recombinant)), </w:t>
      </w:r>
      <w:proofErr w:type="spellStart"/>
      <w:r w:rsidRPr="006C55AD">
        <w:t>Afstyla</w:t>
      </w:r>
      <w:proofErr w:type="spellEnd"/>
      <w:r w:rsidRPr="006C55AD">
        <w:t xml:space="preserve"> (single chain</w:t>
      </w:r>
      <w:proofErr w:type="gramEnd"/>
      <w:r w:rsidRPr="006C55AD">
        <w:t xml:space="preserve">, antihemophilic Factor (Recombinant)), Eloctate (antihemophilic Factor (Recombinant), Fc Fusion Protein), &amp; </w:t>
      </w:r>
      <w:proofErr w:type="spellStart"/>
      <w:r w:rsidRPr="006C55AD">
        <w:t>Esperoct</w:t>
      </w:r>
      <w:proofErr w:type="spellEnd"/>
      <w:r w:rsidRPr="006C55AD">
        <w:t xml:space="preserve"> (antihemophilic Factor (Recombinant), </w:t>
      </w:r>
      <w:proofErr w:type="spellStart"/>
      <w:r w:rsidRPr="006C55AD">
        <w:t>glycopegylated</w:t>
      </w:r>
      <w:proofErr w:type="spellEnd"/>
      <w:r w:rsidRPr="006C55AD">
        <w:t xml:space="preserve">-exe) will be non-formulary. </w:t>
      </w:r>
    </w:p>
    <w:p w14:paraId="68C85E8C" w14:textId="786B052C" w:rsidR="00660553" w:rsidRPr="00660553" w:rsidRDefault="006C55AD" w:rsidP="00660553">
      <w:pPr>
        <w:pStyle w:val="ListParagraph"/>
        <w:numPr>
          <w:ilvl w:val="0"/>
          <w:numId w:val="19"/>
        </w:numPr>
      </w:pPr>
      <w:proofErr w:type="spellStart"/>
      <w:r w:rsidRPr="006C55AD">
        <w:t>Alphanate</w:t>
      </w:r>
      <w:proofErr w:type="spellEnd"/>
      <w:r w:rsidRPr="006C55AD">
        <w:t xml:space="preserve"> (antihemophilic Factor/von Willebrand Factor Complex) will be non-formulary</w:t>
      </w:r>
      <w:r>
        <w:t>.</w:t>
      </w:r>
    </w:p>
    <w:p w14:paraId="6F5F29EA" w14:textId="77777777" w:rsidR="005B057E" w:rsidRDefault="005B057E" w:rsidP="005B057E">
      <w:pPr>
        <w:pStyle w:val="Heading1"/>
      </w:pPr>
      <w:r w:rsidRPr="005B057E">
        <w:lastRenderedPageBreak/>
        <w:t>Hemostatic: von Willebrand Factor (20:28.16)</w:t>
      </w:r>
    </w:p>
    <w:p w14:paraId="5A8A5CE0" w14:textId="602BDABC" w:rsidR="000356B8" w:rsidRDefault="000356B8" w:rsidP="000356B8">
      <w:pPr>
        <w:pStyle w:val="ListParagraph"/>
        <w:numPr>
          <w:ilvl w:val="0"/>
          <w:numId w:val="20"/>
        </w:numPr>
      </w:pPr>
      <w:r>
        <w:t>Humate-P (Antihemophilic factor VIII/von Willebrand factor complex) will be formulary.</w:t>
      </w:r>
    </w:p>
    <w:p w14:paraId="679B3D73" w14:textId="0CBA4CB1" w:rsidR="000356B8" w:rsidRPr="000356B8" w:rsidRDefault="000356B8" w:rsidP="000356B8">
      <w:pPr>
        <w:pStyle w:val="ListParagraph"/>
        <w:numPr>
          <w:ilvl w:val="0"/>
          <w:numId w:val="20"/>
        </w:numPr>
      </w:pPr>
      <w:proofErr w:type="spellStart"/>
      <w:r>
        <w:t>Alphanate</w:t>
      </w:r>
      <w:proofErr w:type="spellEnd"/>
      <w:r>
        <w:t xml:space="preserve"> (Antihemophilic factor VIII/von Willebrand factor complex), </w:t>
      </w:r>
      <w:proofErr w:type="spellStart"/>
      <w:r>
        <w:t>Wilate</w:t>
      </w:r>
      <w:proofErr w:type="spellEnd"/>
      <w:r>
        <w:t xml:space="preserve"> (Antihemophilic factor VIII/von Willebrand factor complex), and </w:t>
      </w:r>
      <w:proofErr w:type="spellStart"/>
      <w:r>
        <w:t>Vonvendi</w:t>
      </w:r>
      <w:proofErr w:type="spellEnd"/>
      <w:r>
        <w:t xml:space="preserve"> (von Willebrand factor recombinant) will be non-formulary.</w:t>
      </w:r>
    </w:p>
    <w:p w14:paraId="7CECD19F" w14:textId="77777777" w:rsidR="005B057E" w:rsidRDefault="005B057E" w:rsidP="005B057E">
      <w:pPr>
        <w:pStyle w:val="Heading1"/>
      </w:pPr>
      <w:r w:rsidRPr="005B057E">
        <w:t>HMG Co-</w:t>
      </w:r>
      <w:proofErr w:type="gramStart"/>
      <w:r w:rsidRPr="005B057E">
        <w:t>A</w:t>
      </w:r>
      <w:proofErr w:type="gramEnd"/>
      <w:r w:rsidRPr="005B057E">
        <w:t xml:space="preserve"> Reductase Inhibitors (24:06.06)</w:t>
      </w:r>
    </w:p>
    <w:p w14:paraId="12157843" w14:textId="77777777" w:rsidR="00AB71D3" w:rsidRDefault="00AB71D3" w:rsidP="00AB71D3">
      <w:pPr>
        <w:pStyle w:val="ListParagraph"/>
        <w:numPr>
          <w:ilvl w:val="0"/>
          <w:numId w:val="21"/>
        </w:numPr>
      </w:pPr>
      <w:r w:rsidRPr="00AB71D3">
        <w:t xml:space="preserve">Atorvastatin will be formulary. </w:t>
      </w:r>
    </w:p>
    <w:p w14:paraId="68EFAD93" w14:textId="636806BC" w:rsidR="00AB71D3" w:rsidRPr="00AB71D3" w:rsidRDefault="00AB71D3" w:rsidP="00AB71D3">
      <w:pPr>
        <w:pStyle w:val="ListParagraph"/>
        <w:numPr>
          <w:ilvl w:val="0"/>
          <w:numId w:val="21"/>
        </w:numPr>
      </w:pPr>
      <w:r w:rsidRPr="00AB71D3">
        <w:t xml:space="preserve">Simvastatin, fluvastatin, lovastatin, </w:t>
      </w:r>
      <w:proofErr w:type="spellStart"/>
      <w:r w:rsidRPr="00AB71D3">
        <w:t>pitavastatin</w:t>
      </w:r>
      <w:proofErr w:type="spellEnd"/>
      <w:r w:rsidRPr="00AB71D3">
        <w:t>, pravastatin, and rosuvastatin will remain nonformulary</w:t>
      </w:r>
      <w:r>
        <w:t>.</w:t>
      </w:r>
    </w:p>
    <w:p w14:paraId="0E4D24EA" w14:textId="66094986" w:rsidR="005B057E" w:rsidRDefault="005B057E" w:rsidP="005B057E">
      <w:pPr>
        <w:pStyle w:val="Heading1"/>
      </w:pPr>
      <w:r w:rsidRPr="005B057E">
        <w:t>Inhaled Corticosteroids (68:04</w:t>
      </w:r>
      <w:r>
        <w:t>)</w:t>
      </w:r>
    </w:p>
    <w:p w14:paraId="682A5D47" w14:textId="2D2815F7" w:rsidR="006E1494" w:rsidRDefault="006E1494" w:rsidP="006E1494">
      <w:pPr>
        <w:pStyle w:val="ListParagraph"/>
        <w:numPr>
          <w:ilvl w:val="0"/>
          <w:numId w:val="22"/>
        </w:numPr>
      </w:pPr>
      <w:r w:rsidRPr="006E1494">
        <w:t>Fluticasone furoate</w:t>
      </w:r>
      <w:r>
        <w:t xml:space="preserve">, </w:t>
      </w:r>
      <w:r w:rsidRPr="006E1494">
        <w:t xml:space="preserve">budesonide </w:t>
      </w:r>
      <w:proofErr w:type="spellStart"/>
      <w:r w:rsidRPr="006E1494">
        <w:t>flexhaler</w:t>
      </w:r>
      <w:proofErr w:type="spellEnd"/>
      <w:r>
        <w:t xml:space="preserve">, and </w:t>
      </w:r>
      <w:r w:rsidRPr="006E1494">
        <w:t>Fluticasone/vilanterol will be formulary.</w:t>
      </w:r>
    </w:p>
    <w:p w14:paraId="63389A3C" w14:textId="06902265" w:rsidR="006E1494" w:rsidRDefault="006E1494" w:rsidP="006E1494">
      <w:pPr>
        <w:pStyle w:val="ListParagraph"/>
        <w:numPr>
          <w:ilvl w:val="0"/>
          <w:numId w:val="22"/>
        </w:numPr>
      </w:pPr>
      <w:r w:rsidRPr="006E1494">
        <w:t xml:space="preserve">Fluticasone (Flovent HFA) </w:t>
      </w:r>
      <w:r>
        <w:t xml:space="preserve">and </w:t>
      </w:r>
      <w:r w:rsidRPr="006E1494">
        <w:t xml:space="preserve">Symbicort (budesonide/formoterol) will be formulary restricted to pediatrics. </w:t>
      </w:r>
    </w:p>
    <w:p w14:paraId="21D46359" w14:textId="77777777" w:rsidR="006E1494" w:rsidRDefault="006E1494" w:rsidP="006E1494">
      <w:pPr>
        <w:pStyle w:val="ListParagraph"/>
        <w:numPr>
          <w:ilvl w:val="0"/>
          <w:numId w:val="22"/>
        </w:numPr>
      </w:pPr>
      <w:r w:rsidRPr="006E1494">
        <w:t xml:space="preserve">Mometasone DPI, budesonide </w:t>
      </w:r>
      <w:proofErr w:type="spellStart"/>
      <w:r w:rsidRPr="006E1494">
        <w:t>respules</w:t>
      </w:r>
      <w:proofErr w:type="spellEnd"/>
      <w:r w:rsidRPr="006E1494">
        <w:t xml:space="preserve">, beclomethasone HFA, </w:t>
      </w:r>
      <w:r>
        <w:t>and</w:t>
      </w:r>
      <w:r w:rsidRPr="006E1494">
        <w:t xml:space="preserve"> </w:t>
      </w:r>
      <w:proofErr w:type="spellStart"/>
      <w:r w:rsidRPr="006E1494">
        <w:t>ciclesonide</w:t>
      </w:r>
      <w:proofErr w:type="spellEnd"/>
      <w:r w:rsidRPr="006E1494">
        <w:t xml:space="preserve"> will be nonformulary.  </w:t>
      </w:r>
    </w:p>
    <w:p w14:paraId="63F7A2DA" w14:textId="75B29595" w:rsidR="006E1494" w:rsidRDefault="006E1494" w:rsidP="006E1494">
      <w:pPr>
        <w:pStyle w:val="ListParagraph"/>
        <w:numPr>
          <w:ilvl w:val="0"/>
          <w:numId w:val="22"/>
        </w:numPr>
      </w:pPr>
      <w:r w:rsidRPr="006E1494">
        <w:t>Fluticasone/Salmeterol</w:t>
      </w:r>
      <w:r>
        <w:t xml:space="preserve">, </w:t>
      </w:r>
      <w:r w:rsidRPr="006E1494">
        <w:t>mometasone/formoterol</w:t>
      </w:r>
      <w:r>
        <w:t>, f</w:t>
      </w:r>
      <w:r w:rsidRPr="006E1494">
        <w:t xml:space="preserve">luticasone/umeclidinium/vilanterol, and budesonide/glycopyrrolate/formoterol will be non-formulary. </w:t>
      </w:r>
    </w:p>
    <w:p w14:paraId="37770851" w14:textId="77777777" w:rsidR="005046E8" w:rsidRDefault="005B057E" w:rsidP="005B057E">
      <w:pPr>
        <w:pStyle w:val="Heading1"/>
      </w:pPr>
      <w:r w:rsidRPr="005B057E">
        <w:t>Integrase Inhibitors (8:18.08)</w:t>
      </w:r>
    </w:p>
    <w:p w14:paraId="071C9B1F" w14:textId="77777777" w:rsidR="00C96EBE" w:rsidRDefault="00C96EBE" w:rsidP="008B2B59">
      <w:pPr>
        <w:pStyle w:val="ListParagraph"/>
        <w:numPr>
          <w:ilvl w:val="0"/>
          <w:numId w:val="23"/>
        </w:numPr>
      </w:pPr>
      <w:proofErr w:type="spellStart"/>
      <w:r w:rsidRPr="00C96EBE">
        <w:t>Tivicay</w:t>
      </w:r>
      <w:proofErr w:type="spellEnd"/>
      <w:r w:rsidRPr="00C96EBE">
        <w:t xml:space="preserve"> (dolutegravir) tablet and </w:t>
      </w:r>
      <w:proofErr w:type="spellStart"/>
      <w:r w:rsidRPr="00C96EBE">
        <w:t>Isentress</w:t>
      </w:r>
      <w:proofErr w:type="spellEnd"/>
      <w:r w:rsidRPr="00C96EBE">
        <w:t>/</w:t>
      </w:r>
      <w:proofErr w:type="spellStart"/>
      <w:r w:rsidRPr="00C96EBE">
        <w:t>Isentress</w:t>
      </w:r>
      <w:proofErr w:type="spellEnd"/>
      <w:r w:rsidRPr="00C96EBE">
        <w:t xml:space="preserve"> HD (</w:t>
      </w:r>
      <w:proofErr w:type="spellStart"/>
      <w:r w:rsidRPr="00C96EBE">
        <w:t>raltegravir</w:t>
      </w:r>
      <w:proofErr w:type="spellEnd"/>
      <w:r w:rsidRPr="00C96EBE">
        <w:t>) tablet will be formulary.</w:t>
      </w:r>
    </w:p>
    <w:p w14:paraId="5DBE0012" w14:textId="77777777" w:rsidR="00C96EBE" w:rsidRDefault="00C96EBE" w:rsidP="008B2B59">
      <w:pPr>
        <w:pStyle w:val="ListParagraph"/>
        <w:numPr>
          <w:ilvl w:val="0"/>
          <w:numId w:val="23"/>
        </w:numPr>
      </w:pPr>
      <w:proofErr w:type="spellStart"/>
      <w:r w:rsidRPr="00C96EBE">
        <w:t>Isentress</w:t>
      </w:r>
      <w:proofErr w:type="spellEnd"/>
      <w:r w:rsidRPr="00C96EBE">
        <w:t>/</w:t>
      </w:r>
      <w:proofErr w:type="spellStart"/>
      <w:r w:rsidRPr="00C96EBE">
        <w:t>Isentress</w:t>
      </w:r>
      <w:proofErr w:type="spellEnd"/>
      <w:r w:rsidRPr="00C96EBE">
        <w:t xml:space="preserve"> HD (</w:t>
      </w:r>
      <w:proofErr w:type="spellStart"/>
      <w:r w:rsidRPr="00C96EBE">
        <w:t>raltegravir</w:t>
      </w:r>
      <w:proofErr w:type="spellEnd"/>
      <w:r w:rsidRPr="00C96EBE">
        <w:t xml:space="preserve">) oral powder will be restricted to pediatrics. </w:t>
      </w:r>
    </w:p>
    <w:p w14:paraId="6D28D35B" w14:textId="6F77B094" w:rsidR="008B2B59" w:rsidRPr="008B2B59" w:rsidRDefault="00C96EBE" w:rsidP="008B2B59">
      <w:pPr>
        <w:pStyle w:val="ListParagraph"/>
        <w:numPr>
          <w:ilvl w:val="0"/>
          <w:numId w:val="23"/>
        </w:numPr>
      </w:pPr>
      <w:proofErr w:type="spellStart"/>
      <w:r w:rsidRPr="00C96EBE">
        <w:t>Tivicay</w:t>
      </w:r>
      <w:proofErr w:type="spellEnd"/>
      <w:r w:rsidRPr="00C96EBE">
        <w:t xml:space="preserve"> (dolutegravir) chewable tablet and </w:t>
      </w:r>
      <w:proofErr w:type="spellStart"/>
      <w:r w:rsidRPr="00C96EBE">
        <w:t>Isentress</w:t>
      </w:r>
      <w:proofErr w:type="spellEnd"/>
      <w:r w:rsidRPr="00C96EBE">
        <w:t>/</w:t>
      </w:r>
      <w:proofErr w:type="spellStart"/>
      <w:r w:rsidRPr="00C96EBE">
        <w:t>Isentress</w:t>
      </w:r>
      <w:proofErr w:type="spellEnd"/>
      <w:r w:rsidRPr="00C96EBE">
        <w:t xml:space="preserve"> HD (</w:t>
      </w:r>
      <w:proofErr w:type="spellStart"/>
      <w:r w:rsidRPr="00C96EBE">
        <w:t>raltegravir</w:t>
      </w:r>
      <w:proofErr w:type="spellEnd"/>
      <w:r w:rsidRPr="00C96EBE">
        <w:t>) chewable tablet will be non-formulary.</w:t>
      </w:r>
    </w:p>
    <w:p w14:paraId="48F362DE" w14:textId="77777777" w:rsidR="005046E8" w:rsidRDefault="005B057E" w:rsidP="005B057E">
      <w:pPr>
        <w:pStyle w:val="Heading1"/>
      </w:pPr>
      <w:r w:rsidRPr="005B057E">
        <w:t>Intranasal Steroids (52:08.08)</w:t>
      </w:r>
    </w:p>
    <w:p w14:paraId="35D9DE40" w14:textId="02301046" w:rsidR="00C96EBE" w:rsidRDefault="00C96EBE" w:rsidP="00C96EBE">
      <w:pPr>
        <w:pStyle w:val="ListParagraph"/>
        <w:numPr>
          <w:ilvl w:val="0"/>
          <w:numId w:val="24"/>
        </w:numPr>
      </w:pPr>
      <w:r w:rsidRPr="00C96EBE">
        <w:t>Fluticasone propionate will be formulary.</w:t>
      </w:r>
    </w:p>
    <w:p w14:paraId="08C404E3" w14:textId="77777777" w:rsidR="00C96EBE" w:rsidRDefault="00C96EBE" w:rsidP="00C96EBE">
      <w:pPr>
        <w:pStyle w:val="ListParagraph"/>
        <w:numPr>
          <w:ilvl w:val="0"/>
          <w:numId w:val="24"/>
        </w:numPr>
      </w:pPr>
      <w:r w:rsidRPr="00C96EBE">
        <w:t xml:space="preserve">Beclomethasone, </w:t>
      </w:r>
      <w:proofErr w:type="spellStart"/>
      <w:r w:rsidRPr="00C96EBE">
        <w:t>ciclesonide</w:t>
      </w:r>
      <w:proofErr w:type="spellEnd"/>
      <w:r w:rsidRPr="00C96EBE">
        <w:t xml:space="preserve">, mometasone, </w:t>
      </w:r>
      <w:r>
        <w:t>and</w:t>
      </w:r>
      <w:r w:rsidRPr="00C96EBE">
        <w:t xml:space="preserve"> flunisolide will be non-formulary. </w:t>
      </w:r>
    </w:p>
    <w:p w14:paraId="20832238" w14:textId="46F7042E" w:rsidR="00C96EBE" w:rsidRPr="00C96EBE" w:rsidRDefault="00C96EBE" w:rsidP="00C96EBE">
      <w:pPr>
        <w:pStyle w:val="ListParagraph"/>
        <w:numPr>
          <w:ilvl w:val="0"/>
          <w:numId w:val="24"/>
        </w:numPr>
      </w:pPr>
      <w:r w:rsidRPr="00C96EBE">
        <w:t xml:space="preserve">Fluticasone furoate, triamcinolone acetonide, budesonide, </w:t>
      </w:r>
      <w:r>
        <w:t>and</w:t>
      </w:r>
      <w:r w:rsidRPr="00C96EBE">
        <w:t xml:space="preserve"> azelastine/fluticasone propionate will be non-formulary</w:t>
      </w:r>
      <w:r>
        <w:t>.</w:t>
      </w:r>
    </w:p>
    <w:p w14:paraId="7ED9F357" w14:textId="77777777" w:rsidR="005046E8" w:rsidRDefault="005B057E" w:rsidP="005B057E">
      <w:pPr>
        <w:pStyle w:val="Heading1"/>
      </w:pPr>
      <w:r w:rsidRPr="005B057E">
        <w:t>Loop Diuretics (24:08.24.08</w:t>
      </w:r>
      <w:r w:rsidR="005046E8">
        <w:t>)</w:t>
      </w:r>
    </w:p>
    <w:p w14:paraId="10DE259A" w14:textId="77777777" w:rsidR="001D07EE" w:rsidRDefault="001D07EE" w:rsidP="001D07EE">
      <w:pPr>
        <w:pStyle w:val="ListParagraph"/>
        <w:numPr>
          <w:ilvl w:val="0"/>
          <w:numId w:val="25"/>
        </w:numPr>
      </w:pPr>
      <w:r w:rsidRPr="001D07EE">
        <w:t xml:space="preserve">Furosemide, </w:t>
      </w:r>
      <w:r>
        <w:t>e</w:t>
      </w:r>
      <w:r w:rsidRPr="001D07EE">
        <w:t xml:space="preserve">thacrynic </w:t>
      </w:r>
      <w:r>
        <w:t>a</w:t>
      </w:r>
      <w:r w:rsidRPr="001D07EE">
        <w:t xml:space="preserve">cid </w:t>
      </w:r>
      <w:r>
        <w:t>i</w:t>
      </w:r>
      <w:r w:rsidRPr="001D07EE">
        <w:t xml:space="preserve">njection, </w:t>
      </w:r>
      <w:r>
        <w:t>and</w:t>
      </w:r>
      <w:r w:rsidRPr="001D07EE">
        <w:t xml:space="preserve"> </w:t>
      </w:r>
      <w:r>
        <w:t>b</w:t>
      </w:r>
      <w:r w:rsidRPr="001D07EE">
        <w:t xml:space="preserve">umetanide will be formulary. </w:t>
      </w:r>
    </w:p>
    <w:p w14:paraId="519B0A5A" w14:textId="504C741C" w:rsidR="001D07EE" w:rsidRPr="001D07EE" w:rsidRDefault="001D07EE" w:rsidP="001D07EE">
      <w:pPr>
        <w:pStyle w:val="ListParagraph"/>
        <w:numPr>
          <w:ilvl w:val="0"/>
          <w:numId w:val="25"/>
        </w:numPr>
      </w:pPr>
      <w:r w:rsidRPr="001D07EE">
        <w:t xml:space="preserve">Torsemide </w:t>
      </w:r>
      <w:r>
        <w:t>and</w:t>
      </w:r>
      <w:r w:rsidRPr="001D07EE">
        <w:t xml:space="preserve"> </w:t>
      </w:r>
      <w:r>
        <w:t>e</w:t>
      </w:r>
      <w:r w:rsidRPr="001D07EE">
        <w:t xml:space="preserve">thacrynic </w:t>
      </w:r>
      <w:r>
        <w:t>a</w:t>
      </w:r>
      <w:r w:rsidRPr="001D07EE">
        <w:t>cid tablets will be non-formulary.</w:t>
      </w:r>
    </w:p>
    <w:p w14:paraId="2DB00E78" w14:textId="77777777" w:rsidR="005046E8" w:rsidRDefault="005B057E" w:rsidP="005B057E">
      <w:pPr>
        <w:pStyle w:val="Heading1"/>
      </w:pPr>
      <w:r w:rsidRPr="005B057E">
        <w:lastRenderedPageBreak/>
        <w:t>Neuramidase Inhibitors (8:18.28, 8:18.92)</w:t>
      </w:r>
    </w:p>
    <w:p w14:paraId="7B141324" w14:textId="77777777" w:rsidR="00A85FC2" w:rsidRDefault="00A85FC2" w:rsidP="007365B9">
      <w:pPr>
        <w:pStyle w:val="ListParagraph"/>
        <w:numPr>
          <w:ilvl w:val="0"/>
          <w:numId w:val="26"/>
        </w:numPr>
      </w:pPr>
      <w:r w:rsidRPr="00A85FC2">
        <w:t xml:space="preserve">Oseltamivir will be formulary. </w:t>
      </w:r>
    </w:p>
    <w:p w14:paraId="4F0C86A1" w14:textId="77777777" w:rsidR="00A85FC2" w:rsidRDefault="00A85FC2" w:rsidP="007365B9">
      <w:pPr>
        <w:pStyle w:val="ListParagraph"/>
        <w:numPr>
          <w:ilvl w:val="0"/>
          <w:numId w:val="26"/>
        </w:numPr>
      </w:pPr>
      <w:r w:rsidRPr="00A85FC2">
        <w:t xml:space="preserve">Peramivir will be formulary restricted to infectious disease providers within 48 hours of symptom onset. </w:t>
      </w:r>
    </w:p>
    <w:p w14:paraId="013C3E40" w14:textId="4C2F563F" w:rsidR="007365B9" w:rsidRPr="007365B9" w:rsidRDefault="00A85FC2" w:rsidP="007365B9">
      <w:pPr>
        <w:pStyle w:val="ListParagraph"/>
        <w:numPr>
          <w:ilvl w:val="0"/>
          <w:numId w:val="26"/>
        </w:numPr>
      </w:pPr>
      <w:r w:rsidRPr="00A85FC2">
        <w:t xml:space="preserve">Zanamivir and </w:t>
      </w:r>
      <w:proofErr w:type="spellStart"/>
      <w:r w:rsidRPr="00A85FC2">
        <w:t>baloxavir</w:t>
      </w:r>
      <w:proofErr w:type="spellEnd"/>
      <w:r w:rsidRPr="00A85FC2">
        <w:t xml:space="preserve"> will be nonformulary.</w:t>
      </w:r>
    </w:p>
    <w:p w14:paraId="2DC8518B" w14:textId="77777777" w:rsidR="005046E8" w:rsidRDefault="005B057E" w:rsidP="005B057E">
      <w:pPr>
        <w:pStyle w:val="Heading1"/>
      </w:pPr>
      <w:r w:rsidRPr="005B057E">
        <w:t>Non-Nucleoside Reverse Transcriptase Inhibitors (NNRTIs) (8:18.08)</w:t>
      </w:r>
    </w:p>
    <w:p w14:paraId="2113B11D" w14:textId="77777777" w:rsidR="00A85FC2" w:rsidRDefault="00A85FC2" w:rsidP="00A85FC2">
      <w:pPr>
        <w:pStyle w:val="ListParagraph"/>
        <w:numPr>
          <w:ilvl w:val="0"/>
          <w:numId w:val="27"/>
        </w:numPr>
      </w:pPr>
      <w:proofErr w:type="spellStart"/>
      <w:r w:rsidRPr="00A85FC2">
        <w:t>Sustiva</w:t>
      </w:r>
      <w:proofErr w:type="spellEnd"/>
      <w:r w:rsidRPr="00A85FC2">
        <w:t xml:space="preserve"> (efavirenz) tablet, </w:t>
      </w:r>
      <w:proofErr w:type="spellStart"/>
      <w:r w:rsidRPr="00A85FC2">
        <w:t>Pifeltro</w:t>
      </w:r>
      <w:proofErr w:type="spellEnd"/>
      <w:r w:rsidRPr="00A85FC2">
        <w:t xml:space="preserve"> (</w:t>
      </w:r>
      <w:proofErr w:type="spellStart"/>
      <w:r w:rsidRPr="00A85FC2">
        <w:t>doravirine</w:t>
      </w:r>
      <w:proofErr w:type="spellEnd"/>
      <w:r w:rsidRPr="00A85FC2">
        <w:t xml:space="preserve">) tablet, </w:t>
      </w:r>
      <w:proofErr w:type="spellStart"/>
      <w:r w:rsidRPr="00A85FC2">
        <w:t>Viramune</w:t>
      </w:r>
      <w:proofErr w:type="spellEnd"/>
      <w:r w:rsidRPr="00A85FC2">
        <w:t xml:space="preserve"> (nevirapine) oral solution, and </w:t>
      </w:r>
      <w:proofErr w:type="spellStart"/>
      <w:r w:rsidRPr="00A85FC2">
        <w:t>Edurant</w:t>
      </w:r>
      <w:proofErr w:type="spellEnd"/>
      <w:r w:rsidRPr="00A85FC2">
        <w:t xml:space="preserve"> (</w:t>
      </w:r>
      <w:proofErr w:type="spellStart"/>
      <w:r w:rsidRPr="00A85FC2">
        <w:t>rilpirvirine</w:t>
      </w:r>
      <w:proofErr w:type="spellEnd"/>
      <w:r w:rsidRPr="00A85FC2">
        <w:t>) tablet will be formulary.</w:t>
      </w:r>
    </w:p>
    <w:p w14:paraId="0BAD7CCC" w14:textId="77777777" w:rsidR="00A85FC2" w:rsidRDefault="00A85FC2" w:rsidP="00A85FC2">
      <w:pPr>
        <w:pStyle w:val="ListParagraph"/>
        <w:numPr>
          <w:ilvl w:val="0"/>
          <w:numId w:val="27"/>
        </w:numPr>
      </w:pPr>
      <w:proofErr w:type="spellStart"/>
      <w:r w:rsidRPr="00A85FC2">
        <w:t>Sustiva</w:t>
      </w:r>
      <w:proofErr w:type="spellEnd"/>
      <w:r w:rsidRPr="00A85FC2">
        <w:t xml:space="preserve"> (efavirenz) capsule will be non-formulary. </w:t>
      </w:r>
    </w:p>
    <w:p w14:paraId="3CAFA3FA" w14:textId="0B7E69CC" w:rsidR="00A85FC2" w:rsidRPr="00A85FC2" w:rsidRDefault="00A85FC2" w:rsidP="00A85FC2">
      <w:pPr>
        <w:pStyle w:val="ListParagraph"/>
        <w:numPr>
          <w:ilvl w:val="0"/>
          <w:numId w:val="27"/>
        </w:numPr>
      </w:pPr>
      <w:proofErr w:type="spellStart"/>
      <w:r w:rsidRPr="00A85FC2">
        <w:t>Intelence</w:t>
      </w:r>
      <w:proofErr w:type="spellEnd"/>
      <w:r w:rsidRPr="00A85FC2">
        <w:t xml:space="preserve"> (etravirine) will be non-formulary.</w:t>
      </w:r>
    </w:p>
    <w:p w14:paraId="76F2743D" w14:textId="77777777" w:rsidR="005046E8" w:rsidRDefault="005B057E" w:rsidP="005B057E">
      <w:pPr>
        <w:pStyle w:val="Heading1"/>
      </w:pPr>
      <w:r w:rsidRPr="005B057E">
        <w:t>Nucleoside Reverse Transcriptase Inhibitors (NRTIs) (8:18.08)</w:t>
      </w:r>
    </w:p>
    <w:p w14:paraId="29E684F0" w14:textId="77777777" w:rsidR="00975F70" w:rsidRDefault="00975F70" w:rsidP="00975F70">
      <w:pPr>
        <w:pStyle w:val="ListParagraph"/>
        <w:numPr>
          <w:ilvl w:val="0"/>
          <w:numId w:val="28"/>
        </w:numPr>
      </w:pPr>
      <w:proofErr w:type="spellStart"/>
      <w:r w:rsidRPr="00975F70">
        <w:t>Ziagen</w:t>
      </w:r>
      <w:proofErr w:type="spellEnd"/>
      <w:r w:rsidRPr="00975F70">
        <w:t xml:space="preserve"> (abacavir) tablets, </w:t>
      </w:r>
      <w:proofErr w:type="spellStart"/>
      <w:r w:rsidRPr="00975F70">
        <w:t>Emtriva</w:t>
      </w:r>
      <w:proofErr w:type="spellEnd"/>
      <w:r w:rsidRPr="00975F70">
        <w:t xml:space="preserve"> (emtricitabine) capsules, </w:t>
      </w:r>
      <w:proofErr w:type="spellStart"/>
      <w:r w:rsidRPr="00975F70">
        <w:t>Epivir</w:t>
      </w:r>
      <w:proofErr w:type="spellEnd"/>
      <w:r w:rsidRPr="00975F70">
        <w:t xml:space="preserve"> (lamivudine) tablet and oral solution, </w:t>
      </w:r>
      <w:proofErr w:type="spellStart"/>
      <w:r w:rsidRPr="00975F70">
        <w:t>Viread</w:t>
      </w:r>
      <w:proofErr w:type="spellEnd"/>
      <w:r w:rsidRPr="00975F70">
        <w:t xml:space="preserve"> (tenofovir disoproxil fumarate) tablet, and Retrovir (zidovudine) oral solution and IV solution will be formulary.</w:t>
      </w:r>
    </w:p>
    <w:p w14:paraId="32C67F56" w14:textId="77777777" w:rsidR="00975F70" w:rsidRDefault="00975F70" w:rsidP="00975F70">
      <w:pPr>
        <w:pStyle w:val="ListParagraph"/>
        <w:numPr>
          <w:ilvl w:val="0"/>
          <w:numId w:val="28"/>
        </w:numPr>
      </w:pPr>
      <w:proofErr w:type="spellStart"/>
      <w:r w:rsidRPr="00975F70">
        <w:t>Emtriva</w:t>
      </w:r>
      <w:proofErr w:type="spellEnd"/>
      <w:r w:rsidRPr="00975F70">
        <w:t xml:space="preserve"> (emtricitabine) oral solution and </w:t>
      </w:r>
      <w:proofErr w:type="spellStart"/>
      <w:r w:rsidRPr="00975F70">
        <w:t>Viread</w:t>
      </w:r>
      <w:proofErr w:type="spellEnd"/>
      <w:r w:rsidRPr="00975F70">
        <w:t xml:space="preserve"> (tenofovir disoproxil fumarate) oral powder will be restricted to pediatrics. </w:t>
      </w:r>
    </w:p>
    <w:p w14:paraId="02D21229" w14:textId="77777777" w:rsidR="00975F70" w:rsidRDefault="00975F70" w:rsidP="00975F70">
      <w:pPr>
        <w:pStyle w:val="ListParagraph"/>
        <w:numPr>
          <w:ilvl w:val="0"/>
          <w:numId w:val="28"/>
        </w:numPr>
      </w:pPr>
      <w:proofErr w:type="spellStart"/>
      <w:r w:rsidRPr="00975F70">
        <w:t>Ziagen</w:t>
      </w:r>
      <w:proofErr w:type="spellEnd"/>
      <w:r w:rsidRPr="00975F70">
        <w:t xml:space="preserve"> (abacavir) oral solution, Retrovir (zidovudine) tablet and capsule will be non-formulary.</w:t>
      </w:r>
    </w:p>
    <w:p w14:paraId="3D641E84" w14:textId="6F7BFE27" w:rsidR="00975F70" w:rsidRPr="00975F70" w:rsidRDefault="00975F70" w:rsidP="00975F70">
      <w:pPr>
        <w:pStyle w:val="ListParagraph"/>
        <w:numPr>
          <w:ilvl w:val="0"/>
          <w:numId w:val="28"/>
        </w:numPr>
      </w:pPr>
      <w:proofErr w:type="spellStart"/>
      <w:r w:rsidRPr="00975F70">
        <w:t>Zerit</w:t>
      </w:r>
      <w:proofErr w:type="spellEnd"/>
      <w:r w:rsidRPr="00975F70">
        <w:t xml:space="preserve"> (stavudine) and </w:t>
      </w:r>
      <w:proofErr w:type="spellStart"/>
      <w:r w:rsidRPr="00975F70">
        <w:t>Vemlidy</w:t>
      </w:r>
      <w:proofErr w:type="spellEnd"/>
      <w:r w:rsidRPr="00975F70">
        <w:t xml:space="preserve"> (tenofovir alafenamide) will be non-formulary.</w:t>
      </w:r>
    </w:p>
    <w:p w14:paraId="7C6CA57F" w14:textId="332EC012" w:rsidR="005046E8" w:rsidRDefault="005B057E" w:rsidP="005B057E">
      <w:pPr>
        <w:pStyle w:val="Heading1"/>
      </w:pPr>
      <w:r w:rsidRPr="005B057E">
        <w:t>Ophthalmic Agents: Alpha2 Agonists</w:t>
      </w:r>
    </w:p>
    <w:p w14:paraId="05753C96" w14:textId="77777777" w:rsidR="002E3734" w:rsidRDefault="002E3734" w:rsidP="002E3734">
      <w:pPr>
        <w:pStyle w:val="ListParagraph"/>
        <w:numPr>
          <w:ilvl w:val="0"/>
          <w:numId w:val="29"/>
        </w:numPr>
      </w:pPr>
      <w:r w:rsidRPr="002E3734">
        <w:t xml:space="preserve">Brimonidine 0.2% will be formulary. All other strengths will be non-formulary. </w:t>
      </w:r>
    </w:p>
    <w:p w14:paraId="6995BCB4" w14:textId="5D00DEEE" w:rsidR="002E3734" w:rsidRPr="002E3734" w:rsidRDefault="002E3734" w:rsidP="002E3734">
      <w:pPr>
        <w:pStyle w:val="ListParagraph"/>
        <w:numPr>
          <w:ilvl w:val="0"/>
          <w:numId w:val="29"/>
        </w:numPr>
      </w:pPr>
      <w:r w:rsidRPr="002E3734">
        <w:t>Apraclonidine will be non-formulary.</w:t>
      </w:r>
    </w:p>
    <w:p w14:paraId="0DC28C76" w14:textId="5CD6B01A" w:rsidR="005046E8" w:rsidRDefault="005B057E" w:rsidP="005B057E">
      <w:pPr>
        <w:pStyle w:val="Heading1"/>
      </w:pPr>
      <w:r w:rsidRPr="005B057E">
        <w:t>Ophthalmic Agents: Beta Blockers</w:t>
      </w:r>
    </w:p>
    <w:p w14:paraId="635BBCE6" w14:textId="77777777" w:rsidR="002E3734" w:rsidRDefault="002E3734" w:rsidP="002E3734">
      <w:pPr>
        <w:pStyle w:val="ListParagraph"/>
        <w:numPr>
          <w:ilvl w:val="0"/>
          <w:numId w:val="30"/>
        </w:numPr>
      </w:pPr>
      <w:r w:rsidRPr="002E3734">
        <w:t>Timolol 0.5% ophthalmic solution and timolol gel forming solution</w:t>
      </w:r>
      <w:r>
        <w:t xml:space="preserve"> </w:t>
      </w:r>
      <w:r w:rsidRPr="002E3734">
        <w:t xml:space="preserve">will be formulary. All other timolol strengths/dose forms will be non-formulary. </w:t>
      </w:r>
    </w:p>
    <w:p w14:paraId="07971EA5" w14:textId="77777777" w:rsidR="002E3734" w:rsidRDefault="002E3734" w:rsidP="002E3734">
      <w:pPr>
        <w:pStyle w:val="ListParagraph"/>
        <w:numPr>
          <w:ilvl w:val="0"/>
          <w:numId w:val="30"/>
        </w:numPr>
      </w:pPr>
      <w:r w:rsidRPr="002E3734">
        <w:t xml:space="preserve">Timolol 0.25% ophthalmic solution will be formulary restricted to pediatrics. </w:t>
      </w:r>
    </w:p>
    <w:p w14:paraId="4A9D89A7" w14:textId="516AC1BC" w:rsidR="002E3734" w:rsidRPr="002E3734" w:rsidRDefault="002E3734" w:rsidP="002E3734">
      <w:pPr>
        <w:pStyle w:val="ListParagraph"/>
        <w:numPr>
          <w:ilvl w:val="0"/>
          <w:numId w:val="30"/>
        </w:numPr>
      </w:pPr>
      <w:proofErr w:type="spellStart"/>
      <w:r w:rsidRPr="002E3734">
        <w:t>Betaxolol</w:t>
      </w:r>
      <w:proofErr w:type="spellEnd"/>
      <w:r w:rsidRPr="002E3734">
        <w:t xml:space="preserve">, </w:t>
      </w:r>
      <w:proofErr w:type="spellStart"/>
      <w:r w:rsidRPr="002E3734">
        <w:t>carteolol</w:t>
      </w:r>
      <w:proofErr w:type="spellEnd"/>
      <w:r w:rsidRPr="002E3734">
        <w:t xml:space="preserve"> and </w:t>
      </w:r>
      <w:proofErr w:type="spellStart"/>
      <w:r w:rsidRPr="002E3734">
        <w:t>levobunolol</w:t>
      </w:r>
      <w:proofErr w:type="spellEnd"/>
      <w:r w:rsidRPr="002E3734">
        <w:t xml:space="preserve"> are non-formulary.</w:t>
      </w:r>
    </w:p>
    <w:p w14:paraId="64543AF3" w14:textId="77777777" w:rsidR="005046E8" w:rsidRDefault="005B057E" w:rsidP="005B057E">
      <w:pPr>
        <w:pStyle w:val="Heading1"/>
      </w:pPr>
      <w:r w:rsidRPr="005B057E">
        <w:t>Ophthalmic Agents: Mast Cell Stabilizers</w:t>
      </w:r>
    </w:p>
    <w:p w14:paraId="560FED6A" w14:textId="77777777" w:rsidR="00AD47F6" w:rsidRDefault="00AD47F6" w:rsidP="00AD47F6">
      <w:pPr>
        <w:pStyle w:val="ListParagraph"/>
        <w:numPr>
          <w:ilvl w:val="0"/>
          <w:numId w:val="31"/>
        </w:numPr>
      </w:pPr>
      <w:r w:rsidRPr="00AD47F6">
        <w:t xml:space="preserve">Ketotifen will be formulary. </w:t>
      </w:r>
    </w:p>
    <w:p w14:paraId="033A6B81" w14:textId="465C17F5" w:rsidR="00AD47F6" w:rsidRPr="00AD47F6" w:rsidRDefault="00AD47F6" w:rsidP="00AD47F6">
      <w:pPr>
        <w:pStyle w:val="ListParagraph"/>
        <w:numPr>
          <w:ilvl w:val="0"/>
          <w:numId w:val="31"/>
        </w:numPr>
      </w:pPr>
      <w:proofErr w:type="spellStart"/>
      <w:r w:rsidRPr="00AD47F6">
        <w:t>Alcaftadine</w:t>
      </w:r>
      <w:proofErr w:type="spellEnd"/>
      <w:r w:rsidRPr="00AD47F6">
        <w:t xml:space="preserve">, </w:t>
      </w:r>
      <w:proofErr w:type="spellStart"/>
      <w:r w:rsidRPr="00AD47F6">
        <w:t>bepotastine</w:t>
      </w:r>
      <w:proofErr w:type="spellEnd"/>
      <w:r w:rsidRPr="00AD47F6">
        <w:t xml:space="preserve">, cromolyn, nedocromil, and </w:t>
      </w:r>
      <w:proofErr w:type="spellStart"/>
      <w:r w:rsidRPr="00AD47F6">
        <w:t>olopatidine</w:t>
      </w:r>
      <w:proofErr w:type="spellEnd"/>
      <w:r w:rsidRPr="00AD47F6">
        <w:t xml:space="preserve"> will be non-formulary.</w:t>
      </w:r>
    </w:p>
    <w:p w14:paraId="04332DE4" w14:textId="77777777" w:rsidR="005046E8" w:rsidRDefault="005B057E" w:rsidP="005B057E">
      <w:pPr>
        <w:pStyle w:val="Heading1"/>
      </w:pPr>
      <w:r w:rsidRPr="005B057E">
        <w:lastRenderedPageBreak/>
        <w:t>Ophthalmic Agents: Prostaglandins</w:t>
      </w:r>
    </w:p>
    <w:p w14:paraId="6039AFBC" w14:textId="77777777" w:rsidR="00AD47F6" w:rsidRDefault="00AD47F6" w:rsidP="00AD47F6">
      <w:pPr>
        <w:pStyle w:val="ListParagraph"/>
        <w:numPr>
          <w:ilvl w:val="0"/>
          <w:numId w:val="32"/>
        </w:numPr>
      </w:pPr>
      <w:r w:rsidRPr="00AD47F6">
        <w:t>Latanoprost 0.005% solution will be formulary.</w:t>
      </w:r>
    </w:p>
    <w:p w14:paraId="6361E12B" w14:textId="2017B65C" w:rsidR="00AD47F6" w:rsidRPr="00AD47F6" w:rsidRDefault="00AD47F6" w:rsidP="00AD47F6">
      <w:pPr>
        <w:pStyle w:val="ListParagraph"/>
        <w:numPr>
          <w:ilvl w:val="0"/>
          <w:numId w:val="32"/>
        </w:numPr>
      </w:pPr>
      <w:r w:rsidRPr="00AD47F6">
        <w:t>All other agents will be non-formulary.</w:t>
      </w:r>
    </w:p>
    <w:p w14:paraId="52B8FCE6" w14:textId="77777777" w:rsidR="005046E8" w:rsidRDefault="005B057E" w:rsidP="005B057E">
      <w:pPr>
        <w:pStyle w:val="Heading1"/>
      </w:pPr>
      <w:r w:rsidRPr="005B057E">
        <w:t>Ophthalmic Agents: Carbonic Anhydrase Inhibitors</w:t>
      </w:r>
    </w:p>
    <w:p w14:paraId="3132783F" w14:textId="77777777" w:rsidR="00A9789A" w:rsidRDefault="00A9789A" w:rsidP="00A9789A">
      <w:pPr>
        <w:pStyle w:val="ListParagraph"/>
        <w:numPr>
          <w:ilvl w:val="0"/>
          <w:numId w:val="33"/>
        </w:numPr>
      </w:pPr>
      <w:r w:rsidRPr="00A9789A">
        <w:t xml:space="preserve">Dorzolamide ophthalmic </w:t>
      </w:r>
      <w:proofErr w:type="gramStart"/>
      <w:r w:rsidRPr="00A9789A">
        <w:t>solution</w:t>
      </w:r>
      <w:proofErr w:type="gramEnd"/>
      <w:r w:rsidRPr="00A9789A">
        <w:t xml:space="preserve"> will be formulary. </w:t>
      </w:r>
    </w:p>
    <w:p w14:paraId="705B5744" w14:textId="135402D5" w:rsidR="00A9789A" w:rsidRPr="00A9789A" w:rsidRDefault="00A9789A" w:rsidP="00A9789A">
      <w:pPr>
        <w:pStyle w:val="ListParagraph"/>
        <w:numPr>
          <w:ilvl w:val="0"/>
          <w:numId w:val="33"/>
        </w:numPr>
      </w:pPr>
      <w:r w:rsidRPr="00A9789A">
        <w:t>Brinzolamide</w:t>
      </w:r>
      <w:r>
        <w:t>, d</w:t>
      </w:r>
      <w:r w:rsidRPr="00A9789A">
        <w:t>orzolamide/</w:t>
      </w:r>
      <w:r>
        <w:t>t</w:t>
      </w:r>
      <w:r w:rsidRPr="00A9789A">
        <w:t>imolol</w:t>
      </w:r>
      <w:r>
        <w:t>, and b</w:t>
      </w:r>
      <w:r w:rsidRPr="00A9789A">
        <w:t>rinzolamide/</w:t>
      </w:r>
      <w:r>
        <w:t>b</w:t>
      </w:r>
      <w:r w:rsidRPr="00A9789A">
        <w:t>rimonidine will be non-formulary.</w:t>
      </w:r>
    </w:p>
    <w:p w14:paraId="23B1A72A" w14:textId="77777777" w:rsidR="005046E8" w:rsidRDefault="005B057E" w:rsidP="005B057E">
      <w:pPr>
        <w:pStyle w:val="Heading1"/>
      </w:pPr>
      <w:r w:rsidRPr="005B057E">
        <w:t>Ophthalmic Agents: Combo Products</w:t>
      </w:r>
    </w:p>
    <w:p w14:paraId="30FF9B8A" w14:textId="254B9F37" w:rsidR="00050914" w:rsidRPr="00050914" w:rsidRDefault="00050914" w:rsidP="00050914">
      <w:pPr>
        <w:pStyle w:val="ListParagraph"/>
        <w:numPr>
          <w:ilvl w:val="0"/>
          <w:numId w:val="34"/>
        </w:numPr>
      </w:pPr>
      <w:r w:rsidRPr="00050914">
        <w:t>Brimonidine/timolol (</w:t>
      </w:r>
      <w:proofErr w:type="spellStart"/>
      <w:r w:rsidRPr="00050914">
        <w:t>Combigan</w:t>
      </w:r>
      <w:proofErr w:type="spellEnd"/>
      <w:r w:rsidRPr="00050914">
        <w:t>), dorzolamide/timolol (</w:t>
      </w:r>
      <w:proofErr w:type="spellStart"/>
      <w:r w:rsidRPr="00050914">
        <w:t>Cosopt</w:t>
      </w:r>
      <w:proofErr w:type="spellEnd"/>
      <w:r w:rsidRPr="00050914">
        <w:t>), and brinzolamide/brimonidine (</w:t>
      </w:r>
      <w:proofErr w:type="spellStart"/>
      <w:r w:rsidRPr="00050914">
        <w:t>Simbrinza</w:t>
      </w:r>
      <w:proofErr w:type="spellEnd"/>
      <w:r w:rsidRPr="00050914">
        <w:t>) will be non-formulary.</w:t>
      </w:r>
    </w:p>
    <w:p w14:paraId="7CC4EB46" w14:textId="77777777" w:rsidR="005046E8" w:rsidRDefault="005B057E" w:rsidP="005B057E">
      <w:pPr>
        <w:pStyle w:val="Heading1"/>
      </w:pPr>
      <w:r w:rsidRPr="005B057E">
        <w:t>Ophthalmic Agents: NSAIDS</w:t>
      </w:r>
    </w:p>
    <w:p w14:paraId="3E9B203F" w14:textId="77777777" w:rsidR="00C04E3B" w:rsidRDefault="00C04E3B" w:rsidP="00C04E3B">
      <w:pPr>
        <w:pStyle w:val="ListParagraph"/>
        <w:numPr>
          <w:ilvl w:val="0"/>
          <w:numId w:val="35"/>
        </w:numPr>
      </w:pPr>
      <w:r w:rsidRPr="00C04E3B">
        <w:t xml:space="preserve">Ketorolac 0.5% will be formulary. </w:t>
      </w:r>
    </w:p>
    <w:p w14:paraId="4FF74FC0" w14:textId="77777777" w:rsidR="00C04E3B" w:rsidRDefault="00C04E3B" w:rsidP="00C04E3B">
      <w:pPr>
        <w:pStyle w:val="ListParagraph"/>
        <w:numPr>
          <w:ilvl w:val="0"/>
          <w:numId w:val="35"/>
        </w:numPr>
      </w:pPr>
      <w:r w:rsidRPr="00C04E3B">
        <w:t>Ketorolac/phenylephrine (</w:t>
      </w:r>
      <w:proofErr w:type="spellStart"/>
      <w:r w:rsidRPr="00C04E3B">
        <w:t>Omidria</w:t>
      </w:r>
      <w:proofErr w:type="spellEnd"/>
      <w:r w:rsidRPr="00C04E3B">
        <w:t xml:space="preserve">) and flurbiprofen will be formulary restricted to ocular surgeries. </w:t>
      </w:r>
    </w:p>
    <w:p w14:paraId="02CC8C07" w14:textId="6030ECBF" w:rsidR="00C04E3B" w:rsidRPr="00C04E3B" w:rsidRDefault="00C04E3B" w:rsidP="00C04E3B">
      <w:pPr>
        <w:pStyle w:val="ListParagraph"/>
        <w:numPr>
          <w:ilvl w:val="0"/>
          <w:numId w:val="35"/>
        </w:numPr>
      </w:pPr>
      <w:proofErr w:type="spellStart"/>
      <w:r w:rsidRPr="00C04E3B">
        <w:t>Bromfenac</w:t>
      </w:r>
      <w:proofErr w:type="spellEnd"/>
      <w:r w:rsidRPr="00C04E3B">
        <w:t>, diclofenac, and nepafenac will be non-formulary.</w:t>
      </w:r>
    </w:p>
    <w:p w14:paraId="57B1AC63" w14:textId="35FD1A68" w:rsidR="006417F8" w:rsidRDefault="005B057E" w:rsidP="005B057E">
      <w:pPr>
        <w:pStyle w:val="Heading1"/>
      </w:pPr>
      <w:r w:rsidRPr="005B057E">
        <w:t>Ophthalmic Antimicrobials, fluoroquinolones</w:t>
      </w:r>
      <w:r w:rsidR="005046E8">
        <w:t xml:space="preserve"> </w:t>
      </w:r>
      <w:r w:rsidRPr="005B057E">
        <w:t>(52:04.04)</w:t>
      </w:r>
    </w:p>
    <w:p w14:paraId="73F814C3" w14:textId="77777777" w:rsidR="00C04E3B" w:rsidRDefault="00C04E3B" w:rsidP="00C04E3B">
      <w:pPr>
        <w:pStyle w:val="ListParagraph"/>
        <w:numPr>
          <w:ilvl w:val="0"/>
          <w:numId w:val="36"/>
        </w:numPr>
      </w:pPr>
      <w:r w:rsidRPr="00C04E3B">
        <w:t xml:space="preserve">All ophthalmic formulations of erythromycin ointment </w:t>
      </w:r>
      <w:r>
        <w:t>and</w:t>
      </w:r>
      <w:r w:rsidRPr="00C04E3B">
        <w:t xml:space="preserve"> ofloxacin will be formulary. </w:t>
      </w:r>
    </w:p>
    <w:p w14:paraId="5EF69A46" w14:textId="77777777" w:rsidR="00C04E3B" w:rsidRDefault="00C04E3B" w:rsidP="00C04E3B">
      <w:pPr>
        <w:pStyle w:val="ListParagraph"/>
        <w:numPr>
          <w:ilvl w:val="0"/>
          <w:numId w:val="36"/>
        </w:numPr>
      </w:pPr>
      <w:proofErr w:type="spellStart"/>
      <w:r w:rsidRPr="00C04E3B">
        <w:t>Vigamox</w:t>
      </w:r>
      <w:proofErr w:type="spellEnd"/>
      <w:r w:rsidRPr="00C04E3B">
        <w:t xml:space="preserve"> (moxifloxacin) will be formulary-restricted to retinopathy of prematurity and surgery settings. </w:t>
      </w:r>
    </w:p>
    <w:p w14:paraId="76DD96B4" w14:textId="6C01B8C3" w:rsidR="00C04E3B" w:rsidRPr="00C04E3B" w:rsidRDefault="00C04E3B" w:rsidP="00C04E3B">
      <w:pPr>
        <w:pStyle w:val="ListParagraph"/>
        <w:numPr>
          <w:ilvl w:val="0"/>
          <w:numId w:val="36"/>
        </w:numPr>
      </w:pPr>
      <w:r w:rsidRPr="00C04E3B">
        <w:t xml:space="preserve">All ophthalmic formulations of ciprofloxacin, </w:t>
      </w:r>
      <w:proofErr w:type="spellStart"/>
      <w:r w:rsidRPr="00C04E3B">
        <w:t>Moxeza</w:t>
      </w:r>
      <w:proofErr w:type="spellEnd"/>
      <w:r w:rsidRPr="00C04E3B">
        <w:t xml:space="preserve"> (moxifloxacin), </w:t>
      </w:r>
      <w:proofErr w:type="spellStart"/>
      <w:r w:rsidRPr="00C04E3B">
        <w:t>gatifloxacin</w:t>
      </w:r>
      <w:proofErr w:type="spellEnd"/>
      <w:r>
        <w:t>,</w:t>
      </w:r>
      <w:r w:rsidRPr="00C04E3B">
        <w:t xml:space="preserve"> </w:t>
      </w:r>
      <w:r>
        <w:t>and</w:t>
      </w:r>
      <w:r w:rsidRPr="00C04E3B">
        <w:t xml:space="preserve"> levofloxacin will be non-formulary.</w:t>
      </w:r>
    </w:p>
    <w:p w14:paraId="4FDC0518" w14:textId="77777777" w:rsidR="005046E8" w:rsidRPr="005046E8" w:rsidRDefault="005046E8" w:rsidP="005046E8"/>
    <w:sectPr w:rsidR="005046E8" w:rsidRPr="005046E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2A8A0" w14:textId="77777777" w:rsidR="000B09F9" w:rsidRDefault="000B09F9" w:rsidP="00BB5E9F">
      <w:r>
        <w:separator/>
      </w:r>
    </w:p>
  </w:endnote>
  <w:endnote w:type="continuationSeparator" w:id="0">
    <w:p w14:paraId="56787B2A" w14:textId="77777777" w:rsidR="000B09F9" w:rsidRDefault="000B09F9" w:rsidP="00BB5E9F">
      <w:r>
        <w:continuationSeparator/>
      </w:r>
    </w:p>
  </w:endnote>
  <w:endnote w:type="continuationNotice" w:id="1">
    <w:p w14:paraId="644F5BBC" w14:textId="77777777" w:rsidR="000B09F9" w:rsidRDefault="000B09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8F294" w14:textId="7DF09566" w:rsidR="00EA03B5" w:rsidRDefault="00E66BBB" w:rsidP="00EA03B5">
    <w:pPr>
      <w:pStyle w:val="Footer"/>
      <w:jc w:val="center"/>
    </w:pPr>
    <w:r>
      <w:t>March</w:t>
    </w:r>
    <w:r w:rsidR="00EE4FC4">
      <w:t xml:space="preserve"> 2025</w:t>
    </w:r>
    <w:r w:rsidR="00EA03B5">
      <w:t xml:space="preserve"> FMOLHS System P&amp;T Meeting</w:t>
    </w:r>
  </w:p>
  <w:p w14:paraId="2239354E" w14:textId="4F47AFCB" w:rsidR="0014548E" w:rsidRPr="0014548E" w:rsidRDefault="0014548E" w:rsidP="00EA03B5">
    <w:pPr>
      <w:pStyle w:val="Footer"/>
      <w:jc w:val="center"/>
      <w:rPr>
        <w:color w:val="FF0000"/>
        <w:sz w:val="18"/>
        <w:szCs w:val="18"/>
      </w:rPr>
    </w:pPr>
    <w:r w:rsidRPr="0014548E">
      <w:rPr>
        <w:color w:val="FF0000"/>
        <w:sz w:val="18"/>
        <w:szCs w:val="18"/>
      </w:rPr>
      <w:t>Changes indicated in red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99CCA" w14:textId="77777777" w:rsidR="000B09F9" w:rsidRDefault="000B09F9" w:rsidP="00BB5E9F">
      <w:r>
        <w:separator/>
      </w:r>
    </w:p>
  </w:footnote>
  <w:footnote w:type="continuationSeparator" w:id="0">
    <w:p w14:paraId="190EC24B" w14:textId="77777777" w:rsidR="000B09F9" w:rsidRDefault="000B09F9" w:rsidP="00BB5E9F">
      <w:r>
        <w:continuationSeparator/>
      </w:r>
    </w:p>
  </w:footnote>
  <w:footnote w:type="continuationNotice" w:id="1">
    <w:p w14:paraId="5125830D" w14:textId="77777777" w:rsidR="000B09F9" w:rsidRDefault="000B09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B680F" w14:textId="7963FAB1" w:rsidR="00BB5E9F" w:rsidRDefault="00BB5E9F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703917B" wp14:editId="6614F087">
          <wp:simplePos x="0" y="0"/>
          <wp:positionH relativeFrom="column">
            <wp:posOffset>-682907</wp:posOffset>
          </wp:positionH>
          <wp:positionV relativeFrom="paragraph">
            <wp:posOffset>-253839</wp:posOffset>
          </wp:positionV>
          <wp:extent cx="2146300" cy="774700"/>
          <wp:effectExtent l="0" t="0" r="0" b="0"/>
          <wp:wrapSquare wrapText="bothSides"/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30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92C0F3D" wp14:editId="78C64B90">
              <wp:simplePos x="0" y="0"/>
              <wp:positionH relativeFrom="column">
                <wp:posOffset>-555585</wp:posOffset>
              </wp:positionH>
              <wp:positionV relativeFrom="paragraph">
                <wp:posOffset>-387752</wp:posOffset>
              </wp:positionV>
              <wp:extent cx="3483980" cy="9144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3980" cy="914400"/>
                      </a:xfrm>
                      <a:prstGeom prst="rect">
                        <a:avLst/>
                      </a:prstGeom>
                      <a:solidFill>
                        <a:srgbClr val="0047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3CAE737" id="Rectangle 2" o:spid="_x0000_s1026" style="position:absolute;margin-left:-43.75pt;margin-top:-30.55pt;width:274.35pt;height:1in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" fillcolor="#00477e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E05878C" wp14:editId="57BE151E">
          <wp:simplePos x="0" y="0"/>
          <wp:positionH relativeFrom="column">
            <wp:posOffset>-902970</wp:posOffset>
          </wp:positionH>
          <wp:positionV relativeFrom="paragraph">
            <wp:posOffset>-457200</wp:posOffset>
          </wp:positionV>
          <wp:extent cx="7743190" cy="1701165"/>
          <wp:effectExtent l="0" t="0" r="3810" b="635"/>
          <wp:wrapSquare wrapText="bothSides"/>
          <wp:docPr id="1" name="Picture 1" descr="Ic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190" cy="170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C29A5"/>
    <w:multiLevelType w:val="hybridMultilevel"/>
    <w:tmpl w:val="62221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52CFB"/>
    <w:multiLevelType w:val="hybridMultilevel"/>
    <w:tmpl w:val="65B2D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1029E"/>
    <w:multiLevelType w:val="hybridMultilevel"/>
    <w:tmpl w:val="36642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D5951"/>
    <w:multiLevelType w:val="hybridMultilevel"/>
    <w:tmpl w:val="50C03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2020F"/>
    <w:multiLevelType w:val="hybridMultilevel"/>
    <w:tmpl w:val="9C249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23D00"/>
    <w:multiLevelType w:val="hybridMultilevel"/>
    <w:tmpl w:val="1C4C1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40BC1"/>
    <w:multiLevelType w:val="hybridMultilevel"/>
    <w:tmpl w:val="95383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C4B54"/>
    <w:multiLevelType w:val="hybridMultilevel"/>
    <w:tmpl w:val="6666B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8083C"/>
    <w:multiLevelType w:val="hybridMultilevel"/>
    <w:tmpl w:val="42400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B7951"/>
    <w:multiLevelType w:val="hybridMultilevel"/>
    <w:tmpl w:val="C6AC5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21E37"/>
    <w:multiLevelType w:val="hybridMultilevel"/>
    <w:tmpl w:val="46E2E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D5E89"/>
    <w:multiLevelType w:val="hybridMultilevel"/>
    <w:tmpl w:val="55D40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A75DA"/>
    <w:multiLevelType w:val="hybridMultilevel"/>
    <w:tmpl w:val="2B085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9325D"/>
    <w:multiLevelType w:val="hybridMultilevel"/>
    <w:tmpl w:val="F998D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E4F65"/>
    <w:multiLevelType w:val="hybridMultilevel"/>
    <w:tmpl w:val="78BEB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F3CE1"/>
    <w:multiLevelType w:val="hybridMultilevel"/>
    <w:tmpl w:val="992CD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26C66"/>
    <w:multiLevelType w:val="hybridMultilevel"/>
    <w:tmpl w:val="2BB2C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D3AEE"/>
    <w:multiLevelType w:val="hybridMultilevel"/>
    <w:tmpl w:val="FCD89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446E8"/>
    <w:multiLevelType w:val="hybridMultilevel"/>
    <w:tmpl w:val="AE743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C4819"/>
    <w:multiLevelType w:val="hybridMultilevel"/>
    <w:tmpl w:val="4A4EF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869C4"/>
    <w:multiLevelType w:val="hybridMultilevel"/>
    <w:tmpl w:val="4C7A3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310B8"/>
    <w:multiLevelType w:val="hybridMultilevel"/>
    <w:tmpl w:val="1FF45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D2D99"/>
    <w:multiLevelType w:val="hybridMultilevel"/>
    <w:tmpl w:val="D6C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85D43"/>
    <w:multiLevelType w:val="hybridMultilevel"/>
    <w:tmpl w:val="BF8C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982793"/>
    <w:multiLevelType w:val="hybridMultilevel"/>
    <w:tmpl w:val="8AC42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D2C90"/>
    <w:multiLevelType w:val="hybridMultilevel"/>
    <w:tmpl w:val="E29AF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E29C5"/>
    <w:multiLevelType w:val="hybridMultilevel"/>
    <w:tmpl w:val="7494B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A777D"/>
    <w:multiLevelType w:val="hybridMultilevel"/>
    <w:tmpl w:val="4F861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076E4"/>
    <w:multiLevelType w:val="hybridMultilevel"/>
    <w:tmpl w:val="6AF8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E6C58"/>
    <w:multiLevelType w:val="hybridMultilevel"/>
    <w:tmpl w:val="5720E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F3210"/>
    <w:multiLevelType w:val="hybridMultilevel"/>
    <w:tmpl w:val="24065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97C86"/>
    <w:multiLevelType w:val="hybridMultilevel"/>
    <w:tmpl w:val="50AC5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84542"/>
    <w:multiLevelType w:val="hybridMultilevel"/>
    <w:tmpl w:val="DBDE7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6543C"/>
    <w:multiLevelType w:val="hybridMultilevel"/>
    <w:tmpl w:val="49CED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D6661B"/>
    <w:multiLevelType w:val="hybridMultilevel"/>
    <w:tmpl w:val="77544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252C0"/>
    <w:multiLevelType w:val="hybridMultilevel"/>
    <w:tmpl w:val="67B28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003675">
    <w:abstractNumId w:val="31"/>
  </w:num>
  <w:num w:numId="2" w16cid:durableId="1679844680">
    <w:abstractNumId w:val="26"/>
  </w:num>
  <w:num w:numId="3" w16cid:durableId="1885671625">
    <w:abstractNumId w:val="33"/>
  </w:num>
  <w:num w:numId="4" w16cid:durableId="465437174">
    <w:abstractNumId w:val="23"/>
  </w:num>
  <w:num w:numId="5" w16cid:durableId="2105299071">
    <w:abstractNumId w:val="22"/>
  </w:num>
  <w:num w:numId="6" w16cid:durableId="1551380649">
    <w:abstractNumId w:val="21"/>
  </w:num>
  <w:num w:numId="7" w16cid:durableId="414403993">
    <w:abstractNumId w:val="2"/>
  </w:num>
  <w:num w:numId="8" w16cid:durableId="294916233">
    <w:abstractNumId w:val="12"/>
  </w:num>
  <w:num w:numId="9" w16cid:durableId="1365902908">
    <w:abstractNumId w:val="18"/>
  </w:num>
  <w:num w:numId="10" w16cid:durableId="415903217">
    <w:abstractNumId w:val="1"/>
  </w:num>
  <w:num w:numId="11" w16cid:durableId="1771856294">
    <w:abstractNumId w:val="9"/>
  </w:num>
  <w:num w:numId="12" w16cid:durableId="775442941">
    <w:abstractNumId w:val="10"/>
  </w:num>
  <w:num w:numId="13" w16cid:durableId="612592405">
    <w:abstractNumId w:val="4"/>
  </w:num>
  <w:num w:numId="14" w16cid:durableId="2090809978">
    <w:abstractNumId w:val="20"/>
  </w:num>
  <w:num w:numId="15" w16cid:durableId="662973033">
    <w:abstractNumId w:val="35"/>
  </w:num>
  <w:num w:numId="16" w16cid:durableId="2085955990">
    <w:abstractNumId w:val="27"/>
  </w:num>
  <w:num w:numId="17" w16cid:durableId="429401221">
    <w:abstractNumId w:val="24"/>
  </w:num>
  <w:num w:numId="18" w16cid:durableId="2140295014">
    <w:abstractNumId w:val="7"/>
  </w:num>
  <w:num w:numId="19" w16cid:durableId="918709457">
    <w:abstractNumId w:val="13"/>
  </w:num>
  <w:num w:numId="20" w16cid:durableId="358089355">
    <w:abstractNumId w:val="6"/>
  </w:num>
  <w:num w:numId="21" w16cid:durableId="263072094">
    <w:abstractNumId w:val="29"/>
  </w:num>
  <w:num w:numId="22" w16cid:durableId="907306738">
    <w:abstractNumId w:val="11"/>
  </w:num>
  <w:num w:numId="23" w16cid:durableId="1805856031">
    <w:abstractNumId w:val="3"/>
  </w:num>
  <w:num w:numId="24" w16cid:durableId="1199048808">
    <w:abstractNumId w:val="34"/>
  </w:num>
  <w:num w:numId="25" w16cid:durableId="1528254700">
    <w:abstractNumId w:val="19"/>
  </w:num>
  <w:num w:numId="26" w16cid:durableId="322706729">
    <w:abstractNumId w:val="32"/>
  </w:num>
  <w:num w:numId="27" w16cid:durableId="807893307">
    <w:abstractNumId w:val="8"/>
  </w:num>
  <w:num w:numId="28" w16cid:durableId="1836215541">
    <w:abstractNumId w:val="28"/>
  </w:num>
  <w:num w:numId="29" w16cid:durableId="885145486">
    <w:abstractNumId w:val="17"/>
  </w:num>
  <w:num w:numId="30" w16cid:durableId="934554322">
    <w:abstractNumId w:val="25"/>
  </w:num>
  <w:num w:numId="31" w16cid:durableId="2035692001">
    <w:abstractNumId w:val="0"/>
  </w:num>
  <w:num w:numId="32" w16cid:durableId="1469397323">
    <w:abstractNumId w:val="14"/>
  </w:num>
  <w:num w:numId="33" w16cid:durableId="1445270492">
    <w:abstractNumId w:val="16"/>
  </w:num>
  <w:num w:numId="34" w16cid:durableId="1220240092">
    <w:abstractNumId w:val="15"/>
  </w:num>
  <w:num w:numId="35" w16cid:durableId="2000962838">
    <w:abstractNumId w:val="30"/>
  </w:num>
  <w:num w:numId="36" w16cid:durableId="808670717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9F"/>
    <w:rsid w:val="00003FBF"/>
    <w:rsid w:val="00005DA8"/>
    <w:rsid w:val="00015EE9"/>
    <w:rsid w:val="000247C3"/>
    <w:rsid w:val="000338E0"/>
    <w:rsid w:val="000356B8"/>
    <w:rsid w:val="000358F0"/>
    <w:rsid w:val="0004626A"/>
    <w:rsid w:val="000474AD"/>
    <w:rsid w:val="00050914"/>
    <w:rsid w:val="000755F6"/>
    <w:rsid w:val="00077946"/>
    <w:rsid w:val="00095D6B"/>
    <w:rsid w:val="00096900"/>
    <w:rsid w:val="000A1DE6"/>
    <w:rsid w:val="000A658A"/>
    <w:rsid w:val="000B0656"/>
    <w:rsid w:val="000B09F9"/>
    <w:rsid w:val="000C44F8"/>
    <w:rsid w:val="000D1CF1"/>
    <w:rsid w:val="000D2E80"/>
    <w:rsid w:val="000E245F"/>
    <w:rsid w:val="000E6C9E"/>
    <w:rsid w:val="000E7FBC"/>
    <w:rsid w:val="000F6325"/>
    <w:rsid w:val="001110F5"/>
    <w:rsid w:val="001122E4"/>
    <w:rsid w:val="00116B78"/>
    <w:rsid w:val="00125670"/>
    <w:rsid w:val="0012746B"/>
    <w:rsid w:val="0014220E"/>
    <w:rsid w:val="0014548E"/>
    <w:rsid w:val="00155DF6"/>
    <w:rsid w:val="00156366"/>
    <w:rsid w:val="0015671A"/>
    <w:rsid w:val="00162A50"/>
    <w:rsid w:val="0017134E"/>
    <w:rsid w:val="00173401"/>
    <w:rsid w:val="00187823"/>
    <w:rsid w:val="00191CDE"/>
    <w:rsid w:val="00192EAB"/>
    <w:rsid w:val="00194A09"/>
    <w:rsid w:val="001A1B15"/>
    <w:rsid w:val="001B246B"/>
    <w:rsid w:val="001B5C40"/>
    <w:rsid w:val="001B7255"/>
    <w:rsid w:val="001C3E4F"/>
    <w:rsid w:val="001C4FA6"/>
    <w:rsid w:val="001D07EE"/>
    <w:rsid w:val="001D5D0C"/>
    <w:rsid w:val="001E36B3"/>
    <w:rsid w:val="001F053D"/>
    <w:rsid w:val="001F48BF"/>
    <w:rsid w:val="001F7BFB"/>
    <w:rsid w:val="00200B72"/>
    <w:rsid w:val="002025A3"/>
    <w:rsid w:val="00204ACA"/>
    <w:rsid w:val="00205CDC"/>
    <w:rsid w:val="00214424"/>
    <w:rsid w:val="00221439"/>
    <w:rsid w:val="00222BA7"/>
    <w:rsid w:val="00223696"/>
    <w:rsid w:val="00232FCC"/>
    <w:rsid w:val="00242FAB"/>
    <w:rsid w:val="00243B05"/>
    <w:rsid w:val="002507A6"/>
    <w:rsid w:val="00250A99"/>
    <w:rsid w:val="00251B3F"/>
    <w:rsid w:val="00252B94"/>
    <w:rsid w:val="00275390"/>
    <w:rsid w:val="002804E0"/>
    <w:rsid w:val="0028065C"/>
    <w:rsid w:val="00284B80"/>
    <w:rsid w:val="0029050B"/>
    <w:rsid w:val="002A53DF"/>
    <w:rsid w:val="002A7321"/>
    <w:rsid w:val="002C0A6A"/>
    <w:rsid w:val="002E2A45"/>
    <w:rsid w:val="002E3734"/>
    <w:rsid w:val="002E778A"/>
    <w:rsid w:val="002E7CD3"/>
    <w:rsid w:val="002F2055"/>
    <w:rsid w:val="002F458B"/>
    <w:rsid w:val="002F5148"/>
    <w:rsid w:val="002F7912"/>
    <w:rsid w:val="00304D81"/>
    <w:rsid w:val="00310B6C"/>
    <w:rsid w:val="00317ED6"/>
    <w:rsid w:val="00322113"/>
    <w:rsid w:val="0032425C"/>
    <w:rsid w:val="00335B15"/>
    <w:rsid w:val="003368C9"/>
    <w:rsid w:val="00342CE7"/>
    <w:rsid w:val="00347977"/>
    <w:rsid w:val="00356296"/>
    <w:rsid w:val="00361091"/>
    <w:rsid w:val="003613E6"/>
    <w:rsid w:val="003629F2"/>
    <w:rsid w:val="00365A05"/>
    <w:rsid w:val="00366996"/>
    <w:rsid w:val="00373515"/>
    <w:rsid w:val="00377C50"/>
    <w:rsid w:val="00380705"/>
    <w:rsid w:val="00381340"/>
    <w:rsid w:val="00390E78"/>
    <w:rsid w:val="00396983"/>
    <w:rsid w:val="003A0A36"/>
    <w:rsid w:val="003A1F77"/>
    <w:rsid w:val="003A4712"/>
    <w:rsid w:val="003A69DE"/>
    <w:rsid w:val="003B7F1C"/>
    <w:rsid w:val="003C00B2"/>
    <w:rsid w:val="003C1079"/>
    <w:rsid w:val="003D1FAD"/>
    <w:rsid w:val="003D25A6"/>
    <w:rsid w:val="003D46A7"/>
    <w:rsid w:val="003D6CC2"/>
    <w:rsid w:val="004025B3"/>
    <w:rsid w:val="0041783E"/>
    <w:rsid w:val="0042072B"/>
    <w:rsid w:val="004229B6"/>
    <w:rsid w:val="00433F74"/>
    <w:rsid w:val="00437A23"/>
    <w:rsid w:val="004574FC"/>
    <w:rsid w:val="0048480C"/>
    <w:rsid w:val="004851CC"/>
    <w:rsid w:val="004918B3"/>
    <w:rsid w:val="004964FD"/>
    <w:rsid w:val="00496A78"/>
    <w:rsid w:val="004973F9"/>
    <w:rsid w:val="0049787A"/>
    <w:rsid w:val="00497EB1"/>
    <w:rsid w:val="004A3D96"/>
    <w:rsid w:val="004A3E1F"/>
    <w:rsid w:val="004A6235"/>
    <w:rsid w:val="004B14A2"/>
    <w:rsid w:val="004B342B"/>
    <w:rsid w:val="004B61A2"/>
    <w:rsid w:val="004C42F6"/>
    <w:rsid w:val="004D202D"/>
    <w:rsid w:val="004D3B5E"/>
    <w:rsid w:val="004D516D"/>
    <w:rsid w:val="004D6320"/>
    <w:rsid w:val="004E665C"/>
    <w:rsid w:val="004F09B3"/>
    <w:rsid w:val="004F335E"/>
    <w:rsid w:val="00500F8F"/>
    <w:rsid w:val="0050131F"/>
    <w:rsid w:val="005023F6"/>
    <w:rsid w:val="00502778"/>
    <w:rsid w:val="005046E8"/>
    <w:rsid w:val="00505E81"/>
    <w:rsid w:val="00507A9E"/>
    <w:rsid w:val="00515402"/>
    <w:rsid w:val="00520B3A"/>
    <w:rsid w:val="00521668"/>
    <w:rsid w:val="0052508F"/>
    <w:rsid w:val="0053391D"/>
    <w:rsid w:val="005357A9"/>
    <w:rsid w:val="00537E3C"/>
    <w:rsid w:val="0054159A"/>
    <w:rsid w:val="00542295"/>
    <w:rsid w:val="005459B3"/>
    <w:rsid w:val="00552A5C"/>
    <w:rsid w:val="00555230"/>
    <w:rsid w:val="00572428"/>
    <w:rsid w:val="0057373E"/>
    <w:rsid w:val="00575151"/>
    <w:rsid w:val="005758F5"/>
    <w:rsid w:val="00576C8B"/>
    <w:rsid w:val="005770A7"/>
    <w:rsid w:val="0057761C"/>
    <w:rsid w:val="005805BE"/>
    <w:rsid w:val="005920F9"/>
    <w:rsid w:val="005A29C3"/>
    <w:rsid w:val="005A3850"/>
    <w:rsid w:val="005A506B"/>
    <w:rsid w:val="005A7393"/>
    <w:rsid w:val="005B0431"/>
    <w:rsid w:val="005B057E"/>
    <w:rsid w:val="005C148C"/>
    <w:rsid w:val="005C44DE"/>
    <w:rsid w:val="005D7814"/>
    <w:rsid w:val="005E61D2"/>
    <w:rsid w:val="005F5BE9"/>
    <w:rsid w:val="00601845"/>
    <w:rsid w:val="006177E3"/>
    <w:rsid w:val="00631E27"/>
    <w:rsid w:val="006407D3"/>
    <w:rsid w:val="006417F8"/>
    <w:rsid w:val="00645295"/>
    <w:rsid w:val="00655DEE"/>
    <w:rsid w:val="0065790C"/>
    <w:rsid w:val="00660553"/>
    <w:rsid w:val="00675970"/>
    <w:rsid w:val="00677E95"/>
    <w:rsid w:val="00682ACB"/>
    <w:rsid w:val="00682CF3"/>
    <w:rsid w:val="00692463"/>
    <w:rsid w:val="0069256F"/>
    <w:rsid w:val="00695817"/>
    <w:rsid w:val="006968E0"/>
    <w:rsid w:val="006A2730"/>
    <w:rsid w:val="006A29B7"/>
    <w:rsid w:val="006A4F7D"/>
    <w:rsid w:val="006A57C1"/>
    <w:rsid w:val="006B111D"/>
    <w:rsid w:val="006C55AD"/>
    <w:rsid w:val="006E1494"/>
    <w:rsid w:val="006E254D"/>
    <w:rsid w:val="006E3627"/>
    <w:rsid w:val="006F0444"/>
    <w:rsid w:val="006F30B8"/>
    <w:rsid w:val="007050F7"/>
    <w:rsid w:val="00707FD8"/>
    <w:rsid w:val="00716D67"/>
    <w:rsid w:val="00721A45"/>
    <w:rsid w:val="0072457A"/>
    <w:rsid w:val="00724C8E"/>
    <w:rsid w:val="00726013"/>
    <w:rsid w:val="007365B9"/>
    <w:rsid w:val="00750DA8"/>
    <w:rsid w:val="00756C27"/>
    <w:rsid w:val="00757CED"/>
    <w:rsid w:val="00765133"/>
    <w:rsid w:val="00771DAE"/>
    <w:rsid w:val="0077468B"/>
    <w:rsid w:val="0078652A"/>
    <w:rsid w:val="007935E1"/>
    <w:rsid w:val="00794BB9"/>
    <w:rsid w:val="007A246C"/>
    <w:rsid w:val="007A329C"/>
    <w:rsid w:val="007A5A39"/>
    <w:rsid w:val="007C36A7"/>
    <w:rsid w:val="007D2B95"/>
    <w:rsid w:val="007E6AD4"/>
    <w:rsid w:val="00800696"/>
    <w:rsid w:val="00802988"/>
    <w:rsid w:val="00807944"/>
    <w:rsid w:val="00815526"/>
    <w:rsid w:val="00816B19"/>
    <w:rsid w:val="00840F58"/>
    <w:rsid w:val="008656DE"/>
    <w:rsid w:val="00867FB3"/>
    <w:rsid w:val="008772A8"/>
    <w:rsid w:val="008900ED"/>
    <w:rsid w:val="00892141"/>
    <w:rsid w:val="008921D9"/>
    <w:rsid w:val="008A5989"/>
    <w:rsid w:val="008A59B2"/>
    <w:rsid w:val="008B1CFE"/>
    <w:rsid w:val="008B2B59"/>
    <w:rsid w:val="008B7F9F"/>
    <w:rsid w:val="008C54FD"/>
    <w:rsid w:val="008E2DB0"/>
    <w:rsid w:val="008F2541"/>
    <w:rsid w:val="009101D0"/>
    <w:rsid w:val="009432E5"/>
    <w:rsid w:val="00946972"/>
    <w:rsid w:val="009479B0"/>
    <w:rsid w:val="00950095"/>
    <w:rsid w:val="009613FB"/>
    <w:rsid w:val="009643D4"/>
    <w:rsid w:val="00975F70"/>
    <w:rsid w:val="0097724E"/>
    <w:rsid w:val="00984702"/>
    <w:rsid w:val="0099336F"/>
    <w:rsid w:val="00993ABE"/>
    <w:rsid w:val="009A31E6"/>
    <w:rsid w:val="009A4890"/>
    <w:rsid w:val="009B0332"/>
    <w:rsid w:val="009B2713"/>
    <w:rsid w:val="009C0AF1"/>
    <w:rsid w:val="009D4739"/>
    <w:rsid w:val="009E1D5A"/>
    <w:rsid w:val="009E2446"/>
    <w:rsid w:val="009E5361"/>
    <w:rsid w:val="009E691A"/>
    <w:rsid w:val="00A002C0"/>
    <w:rsid w:val="00A055BE"/>
    <w:rsid w:val="00A15B8E"/>
    <w:rsid w:val="00A175C9"/>
    <w:rsid w:val="00A2718E"/>
    <w:rsid w:val="00A54598"/>
    <w:rsid w:val="00A55265"/>
    <w:rsid w:val="00A65255"/>
    <w:rsid w:val="00A71D0E"/>
    <w:rsid w:val="00A85403"/>
    <w:rsid w:val="00A85FC2"/>
    <w:rsid w:val="00A86396"/>
    <w:rsid w:val="00A93A94"/>
    <w:rsid w:val="00A9789A"/>
    <w:rsid w:val="00AB71D3"/>
    <w:rsid w:val="00AC614B"/>
    <w:rsid w:val="00AC7AB6"/>
    <w:rsid w:val="00AD47F6"/>
    <w:rsid w:val="00AF02A7"/>
    <w:rsid w:val="00B028A4"/>
    <w:rsid w:val="00B04BE7"/>
    <w:rsid w:val="00B27CA7"/>
    <w:rsid w:val="00B31816"/>
    <w:rsid w:val="00B33E40"/>
    <w:rsid w:val="00B443DD"/>
    <w:rsid w:val="00B50353"/>
    <w:rsid w:val="00B5763D"/>
    <w:rsid w:val="00B64099"/>
    <w:rsid w:val="00B80F5A"/>
    <w:rsid w:val="00B81918"/>
    <w:rsid w:val="00B93698"/>
    <w:rsid w:val="00BB40D0"/>
    <w:rsid w:val="00BB5E9F"/>
    <w:rsid w:val="00BC1256"/>
    <w:rsid w:val="00BD0344"/>
    <w:rsid w:val="00BD0864"/>
    <w:rsid w:val="00BD2909"/>
    <w:rsid w:val="00BD3BF5"/>
    <w:rsid w:val="00BE46A0"/>
    <w:rsid w:val="00BE5ECA"/>
    <w:rsid w:val="00BE5F2A"/>
    <w:rsid w:val="00BE65B3"/>
    <w:rsid w:val="00C01703"/>
    <w:rsid w:val="00C04E3B"/>
    <w:rsid w:val="00C10A7D"/>
    <w:rsid w:val="00C160CD"/>
    <w:rsid w:val="00C24443"/>
    <w:rsid w:val="00C25201"/>
    <w:rsid w:val="00C33997"/>
    <w:rsid w:val="00C34D6B"/>
    <w:rsid w:val="00C4207E"/>
    <w:rsid w:val="00C43BFB"/>
    <w:rsid w:val="00C45D09"/>
    <w:rsid w:val="00C51215"/>
    <w:rsid w:val="00C76A24"/>
    <w:rsid w:val="00C80192"/>
    <w:rsid w:val="00C80241"/>
    <w:rsid w:val="00C82C79"/>
    <w:rsid w:val="00C8627A"/>
    <w:rsid w:val="00C90282"/>
    <w:rsid w:val="00C96EBE"/>
    <w:rsid w:val="00CA7337"/>
    <w:rsid w:val="00CB3C77"/>
    <w:rsid w:val="00CC3EDC"/>
    <w:rsid w:val="00CC7529"/>
    <w:rsid w:val="00CD461A"/>
    <w:rsid w:val="00CD7C3E"/>
    <w:rsid w:val="00CE2973"/>
    <w:rsid w:val="00CE3776"/>
    <w:rsid w:val="00CE38C8"/>
    <w:rsid w:val="00CF0A61"/>
    <w:rsid w:val="00CF237C"/>
    <w:rsid w:val="00D01E3A"/>
    <w:rsid w:val="00D064A6"/>
    <w:rsid w:val="00D10A9F"/>
    <w:rsid w:val="00D10AAF"/>
    <w:rsid w:val="00D22875"/>
    <w:rsid w:val="00D273B7"/>
    <w:rsid w:val="00D30346"/>
    <w:rsid w:val="00D350D1"/>
    <w:rsid w:val="00D41889"/>
    <w:rsid w:val="00D43F6B"/>
    <w:rsid w:val="00D44B85"/>
    <w:rsid w:val="00D45E09"/>
    <w:rsid w:val="00D4647E"/>
    <w:rsid w:val="00D5343A"/>
    <w:rsid w:val="00D53661"/>
    <w:rsid w:val="00D54C0B"/>
    <w:rsid w:val="00D6089C"/>
    <w:rsid w:val="00D64812"/>
    <w:rsid w:val="00D70D44"/>
    <w:rsid w:val="00D75BC7"/>
    <w:rsid w:val="00D86CCD"/>
    <w:rsid w:val="00D8713E"/>
    <w:rsid w:val="00DA4F36"/>
    <w:rsid w:val="00DA7019"/>
    <w:rsid w:val="00DB6DF9"/>
    <w:rsid w:val="00DC0D9B"/>
    <w:rsid w:val="00DC46B9"/>
    <w:rsid w:val="00DC6847"/>
    <w:rsid w:val="00DC7281"/>
    <w:rsid w:val="00DD6B7C"/>
    <w:rsid w:val="00DF2DC5"/>
    <w:rsid w:val="00E00E4E"/>
    <w:rsid w:val="00E040EC"/>
    <w:rsid w:val="00E0643A"/>
    <w:rsid w:val="00E34234"/>
    <w:rsid w:val="00E374A5"/>
    <w:rsid w:val="00E40CC8"/>
    <w:rsid w:val="00E417B4"/>
    <w:rsid w:val="00E66BBB"/>
    <w:rsid w:val="00E7588E"/>
    <w:rsid w:val="00E814A6"/>
    <w:rsid w:val="00E81A3C"/>
    <w:rsid w:val="00E84D8E"/>
    <w:rsid w:val="00E86FFD"/>
    <w:rsid w:val="00EA03B5"/>
    <w:rsid w:val="00EA46C5"/>
    <w:rsid w:val="00EA4F33"/>
    <w:rsid w:val="00EA52D6"/>
    <w:rsid w:val="00EB7756"/>
    <w:rsid w:val="00EC03FE"/>
    <w:rsid w:val="00EC0606"/>
    <w:rsid w:val="00EC163B"/>
    <w:rsid w:val="00EC71F6"/>
    <w:rsid w:val="00EE400E"/>
    <w:rsid w:val="00EE4FC4"/>
    <w:rsid w:val="00EE58D3"/>
    <w:rsid w:val="00EF61D7"/>
    <w:rsid w:val="00EF63CC"/>
    <w:rsid w:val="00F0164A"/>
    <w:rsid w:val="00F066B8"/>
    <w:rsid w:val="00F14067"/>
    <w:rsid w:val="00F30ABF"/>
    <w:rsid w:val="00F36B03"/>
    <w:rsid w:val="00F36D00"/>
    <w:rsid w:val="00F41DBB"/>
    <w:rsid w:val="00F42759"/>
    <w:rsid w:val="00F42941"/>
    <w:rsid w:val="00F47D14"/>
    <w:rsid w:val="00F55031"/>
    <w:rsid w:val="00F60C1E"/>
    <w:rsid w:val="00F60F3D"/>
    <w:rsid w:val="00F6147D"/>
    <w:rsid w:val="00F621EA"/>
    <w:rsid w:val="00F63817"/>
    <w:rsid w:val="00F6609A"/>
    <w:rsid w:val="00F67BFB"/>
    <w:rsid w:val="00F7087A"/>
    <w:rsid w:val="00F81CD5"/>
    <w:rsid w:val="00F8266E"/>
    <w:rsid w:val="00F86471"/>
    <w:rsid w:val="00F91A5F"/>
    <w:rsid w:val="00F93ECE"/>
    <w:rsid w:val="00F9521C"/>
    <w:rsid w:val="00FA2D04"/>
    <w:rsid w:val="00FA4EA6"/>
    <w:rsid w:val="00FA6476"/>
    <w:rsid w:val="00FA67A4"/>
    <w:rsid w:val="00FA6FFE"/>
    <w:rsid w:val="00FB0C40"/>
    <w:rsid w:val="00FC4838"/>
    <w:rsid w:val="00FD2CF4"/>
    <w:rsid w:val="00FD43C1"/>
    <w:rsid w:val="00FF63CC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39849"/>
  <w15:chartTrackingRefBased/>
  <w15:docId w15:val="{10DF646D-7A13-5247-92CF-147547D6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4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E9F"/>
  </w:style>
  <w:style w:type="paragraph" w:styleId="Footer">
    <w:name w:val="footer"/>
    <w:basedOn w:val="Normal"/>
    <w:link w:val="FooterChar"/>
    <w:uiPriority w:val="99"/>
    <w:unhideWhenUsed/>
    <w:rsid w:val="00BB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E9F"/>
  </w:style>
  <w:style w:type="paragraph" w:styleId="ListParagraph">
    <w:name w:val="List Paragraph"/>
    <w:basedOn w:val="Normal"/>
    <w:uiPriority w:val="34"/>
    <w:qFormat/>
    <w:rsid w:val="00F9521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normaltextrun">
    <w:name w:val="normaltextrun"/>
    <w:basedOn w:val="DefaultParagraphFont"/>
    <w:rsid w:val="00F9521C"/>
  </w:style>
  <w:style w:type="paragraph" w:styleId="BalloonText">
    <w:name w:val="Balloon Text"/>
    <w:basedOn w:val="Normal"/>
    <w:link w:val="BalloonTextChar"/>
    <w:uiPriority w:val="99"/>
    <w:semiHidden/>
    <w:unhideWhenUsed/>
    <w:rsid w:val="009772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24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71D0E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34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D6DEBDF43974591C6DD25B9D74460" ma:contentTypeVersion="17" ma:contentTypeDescription="Create a new document." ma:contentTypeScope="" ma:versionID="f0289c953cae5efc2ffbde2a8ec5fd29">
  <xsd:schema xmlns:xsd="http://www.w3.org/2001/XMLSchema" xmlns:xs="http://www.w3.org/2001/XMLSchema" xmlns:p="http://schemas.microsoft.com/office/2006/metadata/properties" xmlns:ns2="c0c22263-f2ca-407e-8aaf-bf1610772127" xmlns:ns3="38381027-65e8-4860-b6c5-bf7a5643da94" targetNamespace="http://schemas.microsoft.com/office/2006/metadata/properties" ma:root="true" ma:fieldsID="84276aaa013b521313e94ecce8043521" ns2:_="" ns3:_="">
    <xsd:import namespace="c0c22263-f2ca-407e-8aaf-bf1610772127"/>
    <xsd:import namespace="38381027-65e8-4860-b6c5-bf7a5643d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22263-f2ca-407e-8aaf-bf1610772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d1ed79f-4c70-47ac-a5b3-9e3a308b1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81027-65e8-4860-b6c5-bf7a5643d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5106e67-0c73-4745-ad28-3bc4816285d8}" ma:internalName="TaxCatchAll" ma:showField="CatchAllData" ma:web="38381027-65e8-4860-b6c5-bf7a5643da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c22263-f2ca-407e-8aaf-bf1610772127">
      <Terms xmlns="http://schemas.microsoft.com/office/infopath/2007/PartnerControls"/>
    </lcf76f155ced4ddcb4097134ff3c332f>
    <TaxCatchAll xmlns="38381027-65e8-4860-b6c5-bf7a5643da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941AF4-55C1-459F-8591-1E0D6C285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22263-f2ca-407e-8aaf-bf1610772127"/>
    <ds:schemaRef ds:uri="38381027-65e8-4860-b6c5-bf7a5643d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327D39-26C8-4A59-944D-4D023089A6F0}">
  <ds:schemaRefs>
    <ds:schemaRef ds:uri="http://schemas.microsoft.com/office/2006/metadata/properties"/>
    <ds:schemaRef ds:uri="http://schemas.microsoft.com/office/infopath/2007/PartnerControls"/>
    <ds:schemaRef ds:uri="c0c22263-f2ca-407e-8aaf-bf1610772127"/>
    <ds:schemaRef ds:uri="38381027-65e8-4860-b6c5-bf7a5643da94"/>
  </ds:schemaRefs>
</ds:datastoreItem>
</file>

<file path=customXml/itemProps3.xml><?xml version="1.0" encoding="utf-8"?>
<ds:datastoreItem xmlns:ds="http://schemas.openxmlformats.org/officeDocument/2006/customXml" ds:itemID="{7899188A-B7D0-4B52-A9CC-922970E5B8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Verret, Lexi M</dc:creator>
  <cp:keywords/>
  <dc:description/>
  <cp:lastModifiedBy>Arnold, Samantha B</cp:lastModifiedBy>
  <cp:revision>2</cp:revision>
  <dcterms:created xsi:type="dcterms:W3CDTF">2025-06-26T18:56:00Z</dcterms:created>
  <dcterms:modified xsi:type="dcterms:W3CDTF">2025-06-26T18:56:00Z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0x0101006EFD6DEBDF43974591C6DD25B9D74460</vt:lpwstr>
  </property>
  <property fmtid="{D5CDD505-2E9C-101B-9397-08002B2CF9AE}" pid="3" name="MediaServiceImageTags">
    <vt:lpwstr/>
  </property>
</Properties>
</file>